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oter8.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Override PartName="/word/footer7.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B645A8" w:rsidRPr="00B645A8" w:rsidRDefault="00B645A8" w:rsidP="00B645A8">
      <w:pPr>
        <w:pStyle w:val="BodyTextIndent"/>
        <w:spacing w:line="480" w:lineRule="auto"/>
        <w:ind w:firstLine="0"/>
        <w:jc w:val="center"/>
        <w:rPr>
          <w:b/>
          <w:szCs w:val="24"/>
        </w:rPr>
      </w:pPr>
      <w:r w:rsidRPr="00B645A8">
        <w:rPr>
          <w:b/>
          <w:szCs w:val="24"/>
        </w:rPr>
        <w:t>Selling issues with solutions: Igniting social intrapreneurship in for-profit organizations</w:t>
      </w:r>
    </w:p>
    <w:p w:rsidR="00B645A8" w:rsidRPr="00B645A8" w:rsidRDefault="00B645A8" w:rsidP="00B645A8">
      <w:pPr>
        <w:spacing w:line="480" w:lineRule="auto"/>
        <w:jc w:val="center"/>
        <w:rPr>
          <w:rFonts w:ascii="Times New Roman" w:hAnsi="Times New Roman"/>
          <w:b/>
          <w:smallCaps/>
          <w:sz w:val="24"/>
        </w:rPr>
      </w:pPr>
    </w:p>
    <w:p w:rsidR="00B645A8" w:rsidRPr="00B645A8" w:rsidRDefault="00B645A8" w:rsidP="00B645A8">
      <w:pPr>
        <w:spacing w:line="480" w:lineRule="auto"/>
        <w:jc w:val="center"/>
        <w:rPr>
          <w:rFonts w:ascii="Times New Roman" w:hAnsi="Times New Roman"/>
          <w:smallCaps/>
          <w:sz w:val="24"/>
          <w:szCs w:val="32"/>
        </w:rPr>
      </w:pPr>
      <w:r w:rsidRPr="00B645A8">
        <w:rPr>
          <w:rFonts w:ascii="Times New Roman" w:hAnsi="Times New Roman"/>
          <w:b/>
          <w:smallCaps/>
          <w:sz w:val="24"/>
        </w:rPr>
        <w:t>Elisa Alt</w:t>
      </w:r>
    </w:p>
    <w:p w:rsidR="00B645A8" w:rsidRPr="00B645A8" w:rsidRDefault="00B645A8" w:rsidP="00B645A8">
      <w:pPr>
        <w:spacing w:line="480" w:lineRule="auto"/>
        <w:jc w:val="center"/>
        <w:rPr>
          <w:rFonts w:ascii="Times New Roman" w:hAnsi="Times New Roman"/>
          <w:sz w:val="24"/>
          <w:szCs w:val="32"/>
        </w:rPr>
      </w:pPr>
      <w:r w:rsidRPr="00B645A8">
        <w:rPr>
          <w:rFonts w:ascii="Times New Roman" w:hAnsi="Times New Roman"/>
          <w:sz w:val="24"/>
        </w:rPr>
        <w:t>Anglia Ruskin University</w:t>
      </w:r>
    </w:p>
    <w:p w:rsidR="00B645A8" w:rsidRPr="00B645A8" w:rsidRDefault="00B645A8" w:rsidP="00B645A8">
      <w:pPr>
        <w:spacing w:line="480" w:lineRule="auto"/>
        <w:jc w:val="center"/>
        <w:rPr>
          <w:rFonts w:ascii="Times New Roman" w:hAnsi="Times New Roman"/>
          <w:sz w:val="24"/>
          <w:szCs w:val="32"/>
        </w:rPr>
      </w:pPr>
      <w:r w:rsidRPr="00B645A8">
        <w:rPr>
          <w:rFonts w:ascii="Times New Roman" w:hAnsi="Times New Roman"/>
          <w:sz w:val="24"/>
        </w:rPr>
        <w:t>Lord Ashcroft International Business School</w:t>
      </w:r>
    </w:p>
    <w:p w:rsidR="00B645A8" w:rsidRPr="00B645A8" w:rsidRDefault="00B645A8" w:rsidP="00B645A8">
      <w:pPr>
        <w:spacing w:line="480" w:lineRule="auto"/>
        <w:jc w:val="center"/>
        <w:rPr>
          <w:rFonts w:ascii="Times New Roman" w:hAnsi="Times New Roman"/>
          <w:sz w:val="24"/>
        </w:rPr>
      </w:pPr>
      <w:r w:rsidRPr="00B645A8">
        <w:rPr>
          <w:rFonts w:ascii="Times New Roman" w:hAnsi="Times New Roman"/>
          <w:sz w:val="24"/>
        </w:rPr>
        <w:t>East Road, Cambridge, CB1 1PT, UK</w:t>
      </w:r>
    </w:p>
    <w:p w:rsidR="00B645A8" w:rsidRPr="00B645A8" w:rsidRDefault="00B645A8" w:rsidP="00B645A8">
      <w:pPr>
        <w:spacing w:line="480" w:lineRule="auto"/>
        <w:jc w:val="center"/>
        <w:rPr>
          <w:rFonts w:ascii="Times New Roman" w:hAnsi="Times New Roman"/>
          <w:sz w:val="24"/>
        </w:rPr>
      </w:pPr>
      <w:r w:rsidRPr="00B645A8">
        <w:rPr>
          <w:rFonts w:ascii="Times New Roman" w:hAnsi="Times New Roman"/>
          <w:sz w:val="24"/>
        </w:rPr>
        <w:t xml:space="preserve">Office: </w:t>
      </w:r>
      <w:r w:rsidRPr="00B645A8">
        <w:rPr>
          <w:rFonts w:ascii="Times New Roman" w:hAnsi="Times New Roman"/>
          <w:sz w:val="24"/>
          <w:shd w:val="clear" w:color="auto" w:fill="FFFFFF"/>
        </w:rPr>
        <w:t>+44 1245 493131 ext. 5039</w:t>
      </w:r>
    </w:p>
    <w:p w:rsidR="00B645A8" w:rsidRPr="00B645A8" w:rsidRDefault="00B645A8" w:rsidP="00B645A8">
      <w:pPr>
        <w:spacing w:line="480" w:lineRule="auto"/>
        <w:jc w:val="center"/>
        <w:rPr>
          <w:rFonts w:ascii="Times New Roman" w:hAnsi="Times New Roman"/>
          <w:sz w:val="24"/>
        </w:rPr>
      </w:pPr>
      <w:r w:rsidRPr="00B645A8">
        <w:rPr>
          <w:rFonts w:ascii="Times New Roman" w:hAnsi="Times New Roman"/>
          <w:sz w:val="24"/>
        </w:rPr>
        <w:t>Email: elisa.alt@anglia.ac.uk</w:t>
      </w:r>
    </w:p>
    <w:p w:rsidR="00B645A8" w:rsidRPr="00B645A8" w:rsidRDefault="00B645A8" w:rsidP="00B645A8">
      <w:pPr>
        <w:pStyle w:val="BodyTextIndent"/>
        <w:spacing w:line="480" w:lineRule="auto"/>
        <w:ind w:firstLine="0"/>
        <w:jc w:val="center"/>
        <w:rPr>
          <w:rFonts w:eastAsia="SimSun"/>
          <w:szCs w:val="24"/>
          <w:lang w:eastAsia="zh-CN"/>
        </w:rPr>
      </w:pPr>
    </w:p>
    <w:p w:rsidR="00B645A8" w:rsidRPr="00B645A8" w:rsidRDefault="00B645A8" w:rsidP="00B645A8">
      <w:pPr>
        <w:pStyle w:val="BodyTextIndent"/>
        <w:spacing w:line="480" w:lineRule="auto"/>
        <w:ind w:firstLine="0"/>
        <w:jc w:val="center"/>
        <w:rPr>
          <w:rFonts w:eastAsia="SimSun"/>
          <w:szCs w:val="24"/>
          <w:lang w:eastAsia="zh-CN"/>
        </w:rPr>
      </w:pPr>
    </w:p>
    <w:p w:rsidR="00B645A8" w:rsidRPr="00B645A8" w:rsidRDefault="00B645A8" w:rsidP="00B645A8">
      <w:pPr>
        <w:spacing w:line="480" w:lineRule="auto"/>
        <w:jc w:val="center"/>
        <w:rPr>
          <w:rFonts w:ascii="Times New Roman" w:hAnsi="Times New Roman"/>
          <w:b/>
          <w:smallCaps/>
          <w:sz w:val="24"/>
        </w:rPr>
      </w:pPr>
      <w:r w:rsidRPr="00B645A8">
        <w:rPr>
          <w:rFonts w:ascii="Times New Roman" w:hAnsi="Times New Roman"/>
          <w:b/>
          <w:smallCaps/>
          <w:sz w:val="24"/>
        </w:rPr>
        <w:t>Justin B. Craig</w:t>
      </w:r>
    </w:p>
    <w:p w:rsidR="00B645A8" w:rsidRPr="00B645A8" w:rsidRDefault="00B645A8" w:rsidP="00B645A8">
      <w:pPr>
        <w:spacing w:line="480" w:lineRule="auto"/>
        <w:jc w:val="center"/>
        <w:rPr>
          <w:rFonts w:ascii="Times New Roman" w:hAnsi="Times New Roman"/>
          <w:sz w:val="24"/>
        </w:rPr>
      </w:pPr>
      <w:r w:rsidRPr="00B645A8">
        <w:rPr>
          <w:rFonts w:ascii="Times New Roman" w:hAnsi="Times New Roman"/>
          <w:sz w:val="24"/>
          <w:shd w:val="clear" w:color="auto" w:fill="FFFFFF"/>
        </w:rPr>
        <w:t>Northwestern University</w:t>
      </w:r>
    </w:p>
    <w:p w:rsidR="00B645A8" w:rsidRPr="00B645A8" w:rsidRDefault="00B645A8" w:rsidP="00B645A8">
      <w:pPr>
        <w:spacing w:line="480" w:lineRule="auto"/>
        <w:jc w:val="center"/>
        <w:rPr>
          <w:rFonts w:ascii="Times New Roman" w:hAnsi="Times New Roman"/>
          <w:sz w:val="24"/>
          <w:shd w:val="clear" w:color="auto" w:fill="FFFFFF"/>
        </w:rPr>
      </w:pPr>
      <w:r w:rsidRPr="00B645A8">
        <w:rPr>
          <w:rFonts w:ascii="Times New Roman" w:hAnsi="Times New Roman"/>
          <w:sz w:val="24"/>
          <w:shd w:val="clear" w:color="auto" w:fill="FFFFFF"/>
        </w:rPr>
        <w:t>Kellogg Center for Family Enterprises</w:t>
      </w:r>
    </w:p>
    <w:p w:rsidR="00B645A8" w:rsidRPr="00B645A8" w:rsidRDefault="00B645A8" w:rsidP="00B645A8">
      <w:pPr>
        <w:spacing w:line="480" w:lineRule="auto"/>
        <w:jc w:val="center"/>
        <w:rPr>
          <w:rFonts w:ascii="Times New Roman" w:hAnsi="Times New Roman"/>
          <w:sz w:val="24"/>
          <w:shd w:val="clear" w:color="auto" w:fill="FFFFFF"/>
        </w:rPr>
      </w:pPr>
      <w:r w:rsidRPr="00B645A8">
        <w:rPr>
          <w:rFonts w:ascii="Times New Roman" w:hAnsi="Times New Roman"/>
          <w:sz w:val="24"/>
          <w:shd w:val="clear" w:color="auto" w:fill="FFFFFF"/>
        </w:rPr>
        <w:t>2001 Sheridan Rd, Evanston, IL 60208, USA</w:t>
      </w:r>
    </w:p>
    <w:p w:rsidR="00B645A8" w:rsidRPr="00B645A8" w:rsidRDefault="00B645A8" w:rsidP="00B645A8">
      <w:pPr>
        <w:spacing w:line="480" w:lineRule="auto"/>
        <w:jc w:val="center"/>
        <w:rPr>
          <w:rFonts w:ascii="Times New Roman" w:hAnsi="Times New Roman"/>
          <w:sz w:val="24"/>
          <w:shd w:val="clear" w:color="auto" w:fill="FFFFFF"/>
        </w:rPr>
      </w:pPr>
      <w:r w:rsidRPr="00B645A8">
        <w:rPr>
          <w:rFonts w:ascii="Times New Roman" w:hAnsi="Times New Roman"/>
          <w:sz w:val="24"/>
          <w:shd w:val="clear" w:color="auto" w:fill="FFFFFF"/>
        </w:rPr>
        <w:t>Office: +1 847 467 7855</w:t>
      </w:r>
    </w:p>
    <w:p w:rsidR="00B645A8" w:rsidRPr="00B645A8" w:rsidRDefault="00B645A8" w:rsidP="00B645A8">
      <w:pPr>
        <w:spacing w:line="480" w:lineRule="auto"/>
        <w:jc w:val="center"/>
        <w:rPr>
          <w:rFonts w:ascii="Times New Roman" w:hAnsi="Times New Roman"/>
          <w:sz w:val="24"/>
          <w:shd w:val="clear" w:color="auto" w:fill="FFFFFF"/>
        </w:rPr>
      </w:pPr>
      <w:r w:rsidRPr="00B645A8">
        <w:rPr>
          <w:rFonts w:ascii="Times New Roman" w:hAnsi="Times New Roman"/>
          <w:sz w:val="24"/>
          <w:shd w:val="clear" w:color="auto" w:fill="FFFFFF"/>
        </w:rPr>
        <w:t xml:space="preserve">Email: </w:t>
      </w:r>
      <w:r w:rsidRPr="00B645A8">
        <w:rPr>
          <w:rStyle w:val="rwrr"/>
          <w:rFonts w:ascii="Times New Roman" w:hAnsi="Times New Roman"/>
          <w:sz w:val="24"/>
          <w:shd w:val="clear" w:color="auto" w:fill="FFFFFF"/>
        </w:rPr>
        <w:t>justin.craig@kellogg.northwestern.edu</w:t>
      </w:r>
    </w:p>
    <w:p w:rsidR="00B645A8" w:rsidRPr="00F16D87" w:rsidRDefault="00B645A8" w:rsidP="00B645A8">
      <w:pPr>
        <w:spacing w:line="480" w:lineRule="auto"/>
        <w:jc w:val="center"/>
        <w:rPr>
          <w:sz w:val="24"/>
        </w:rPr>
      </w:pPr>
    </w:p>
    <w:p w:rsidR="00B645A8" w:rsidRDefault="00B645A8" w:rsidP="00FF2A8D">
      <w:pPr>
        <w:pStyle w:val="BodyTextIndent"/>
        <w:spacing w:line="480" w:lineRule="auto"/>
        <w:ind w:firstLine="0"/>
        <w:jc w:val="center"/>
        <w:rPr>
          <w:b/>
          <w:szCs w:val="24"/>
        </w:rPr>
      </w:pPr>
    </w:p>
    <w:p w:rsidR="005A4D06" w:rsidRDefault="005A4D06" w:rsidP="00B645A8">
      <w:pPr>
        <w:pStyle w:val="BodyTextIndent"/>
        <w:spacing w:line="480" w:lineRule="auto"/>
        <w:ind w:firstLine="0"/>
        <w:jc w:val="center"/>
        <w:rPr>
          <w:b/>
          <w:szCs w:val="24"/>
          <w:lang w:val="en-GB"/>
        </w:rPr>
      </w:pPr>
      <w:r>
        <w:rPr>
          <w:b/>
          <w:szCs w:val="24"/>
          <w:lang w:val="en-GB"/>
        </w:rPr>
        <w:t xml:space="preserve">Paper accepted for publication at the </w:t>
      </w:r>
      <w:r w:rsidR="00B645A8" w:rsidRPr="0075064B">
        <w:rPr>
          <w:b/>
          <w:szCs w:val="24"/>
          <w:lang w:val="en-GB"/>
        </w:rPr>
        <w:t>Journal of Management Studies</w:t>
      </w:r>
    </w:p>
    <w:p w:rsidR="00B645A8" w:rsidRPr="0075064B" w:rsidRDefault="005A4D06" w:rsidP="00B645A8">
      <w:pPr>
        <w:pStyle w:val="BodyTextIndent"/>
        <w:spacing w:line="480" w:lineRule="auto"/>
        <w:ind w:firstLine="0"/>
        <w:jc w:val="center"/>
        <w:rPr>
          <w:b/>
          <w:szCs w:val="24"/>
          <w:lang w:val="en-GB"/>
        </w:rPr>
      </w:pPr>
      <w:r>
        <w:rPr>
          <w:b/>
          <w:szCs w:val="24"/>
          <w:lang w:val="en-GB"/>
        </w:rPr>
        <w:t>Sustainability, Ethics and Entrepreneurship Special Issue</w:t>
      </w:r>
    </w:p>
    <w:p w:rsidR="00B645A8" w:rsidRPr="0075064B" w:rsidRDefault="00B645A8" w:rsidP="00B645A8">
      <w:pPr>
        <w:pStyle w:val="BodyTextIndent"/>
        <w:spacing w:line="480" w:lineRule="auto"/>
        <w:ind w:firstLine="0"/>
        <w:jc w:val="center"/>
        <w:rPr>
          <w:b/>
          <w:szCs w:val="24"/>
          <w:lang w:val="en-GB"/>
        </w:rPr>
        <w:sectPr w:rsidR="00B645A8" w:rsidRPr="0075064B">
          <w:headerReference w:type="default" r:id="rId7"/>
          <w:footerReference w:type="even" r:id="rId8"/>
          <w:footerReference w:type="default" r:id="rId9"/>
          <w:pgSz w:w="12240" w:h="15840"/>
          <w:pgMar w:top="1440" w:right="1440" w:bottom="1440" w:left="1440" w:gutter="0"/>
          <w:pgNumType w:start="0"/>
        </w:sectPr>
      </w:pPr>
      <w:r w:rsidRPr="0075064B">
        <w:rPr>
          <w:b/>
          <w:szCs w:val="24"/>
          <w:lang w:val="en-GB"/>
        </w:rPr>
        <w:t>Please do not distribute further without authors’ permission</w:t>
      </w:r>
    </w:p>
    <w:p w:rsidR="00FF2A8D" w:rsidRPr="00E75558" w:rsidRDefault="00FF2A8D" w:rsidP="00FF2A8D">
      <w:pPr>
        <w:pStyle w:val="BodyTextIndent"/>
        <w:spacing w:line="480" w:lineRule="auto"/>
        <w:ind w:firstLine="0"/>
        <w:jc w:val="center"/>
        <w:rPr>
          <w:b/>
          <w:szCs w:val="24"/>
        </w:rPr>
      </w:pPr>
      <w:r w:rsidRPr="00E75558">
        <w:rPr>
          <w:b/>
          <w:szCs w:val="24"/>
        </w:rPr>
        <w:t>Selling issues with solutions: Igniting social intrapreneurship in for-profit organizations</w:t>
      </w:r>
    </w:p>
    <w:p w:rsidR="00FF2A8D" w:rsidRPr="00E75558" w:rsidRDefault="00FF2A8D" w:rsidP="00FF2A8D">
      <w:pPr>
        <w:pStyle w:val="BodyTextIndent"/>
        <w:spacing w:line="480" w:lineRule="auto"/>
        <w:jc w:val="center"/>
        <w:rPr>
          <w:b/>
          <w:szCs w:val="24"/>
        </w:rPr>
      </w:pPr>
    </w:p>
    <w:p w:rsidR="00FF2A8D" w:rsidRPr="00380618" w:rsidRDefault="00FF2A8D" w:rsidP="00FF2A8D">
      <w:pPr>
        <w:pStyle w:val="BodyTextIndent"/>
        <w:spacing w:line="480" w:lineRule="auto"/>
        <w:ind w:firstLine="0"/>
        <w:jc w:val="center"/>
        <w:rPr>
          <w:b/>
          <w:szCs w:val="24"/>
        </w:rPr>
      </w:pPr>
      <w:r w:rsidRPr="00E75558">
        <w:rPr>
          <w:b/>
          <w:szCs w:val="24"/>
        </w:rPr>
        <w:t>ABSTRACT</w:t>
      </w:r>
    </w:p>
    <w:p w:rsidR="00FF2A8D" w:rsidRDefault="00FF2A8D" w:rsidP="00FF2A8D">
      <w:pPr>
        <w:pStyle w:val="BodyTextIndent"/>
        <w:spacing w:line="480" w:lineRule="auto"/>
        <w:ind w:firstLine="403"/>
        <w:rPr>
          <w:szCs w:val="24"/>
        </w:rPr>
      </w:pPr>
      <w:r w:rsidRPr="00E75558">
        <w:rPr>
          <w:szCs w:val="24"/>
        </w:rPr>
        <w:t>We offer an explanation of the issue</w:t>
      </w:r>
      <w:r>
        <w:rPr>
          <w:szCs w:val="24"/>
        </w:rPr>
        <w:t xml:space="preserve"> </w:t>
      </w:r>
      <w:r w:rsidRPr="00E75558">
        <w:rPr>
          <w:szCs w:val="24"/>
        </w:rPr>
        <w:t>selling process when issues deviate from the dominant logic of organizations. Our main objective is to articulate the multiple ways in which socially</w:t>
      </w:r>
      <w:r>
        <w:rPr>
          <w:szCs w:val="24"/>
        </w:rPr>
        <w:t xml:space="preserve"> </w:t>
      </w:r>
      <w:r w:rsidRPr="004010D6">
        <w:rPr>
          <w:szCs w:val="24"/>
        </w:rPr>
        <w:t>oriented innovations can be legitimated in for-profit organizations through the work of bottom-up change agents, also known as social intrapreneurs. To unpack this multiplicity, we</w:t>
      </w:r>
      <w:r>
        <w:rPr>
          <w:szCs w:val="24"/>
        </w:rPr>
        <w:t xml:space="preserve"> draw on both institutional theory and the framing perspective in social movements. Specifically, we </w:t>
      </w:r>
      <w:r w:rsidRPr="004010D6">
        <w:rPr>
          <w:szCs w:val="24"/>
        </w:rPr>
        <w:t xml:space="preserve">propose how sellers may advance social issues with solutions by drawing on the logic composite of both organizations and selling targets. By providing an account of the social issue selling process in for-profit organizations, we consider how the nature of an issue shapes selling efforts when it diverges from the dominant logic, and we shed light on </w:t>
      </w:r>
      <w:r>
        <w:rPr>
          <w:szCs w:val="24"/>
        </w:rPr>
        <w:t>how the content choices of sellers relate to the meaning systems of organizations and targets.</w:t>
      </w:r>
    </w:p>
    <w:p w:rsidR="00FF2A8D" w:rsidRDefault="00FF2A8D" w:rsidP="00FF2A8D">
      <w:pPr>
        <w:pStyle w:val="BodyTextIndent"/>
        <w:spacing w:line="480" w:lineRule="auto"/>
        <w:ind w:firstLine="403"/>
        <w:rPr>
          <w:szCs w:val="24"/>
        </w:rPr>
      </w:pPr>
    </w:p>
    <w:p w:rsidR="00FF2A8D" w:rsidRPr="004010D6" w:rsidRDefault="00FF2A8D" w:rsidP="00FF2A8D">
      <w:pPr>
        <w:pStyle w:val="BodyTextIndent"/>
        <w:spacing w:line="480" w:lineRule="auto"/>
        <w:ind w:firstLine="0"/>
        <w:rPr>
          <w:b/>
        </w:rPr>
      </w:pPr>
      <w:r w:rsidRPr="004010D6">
        <w:rPr>
          <w:b/>
        </w:rPr>
        <w:t>Keywords:</w:t>
      </w:r>
    </w:p>
    <w:p w:rsidR="00FF2A8D" w:rsidRDefault="00FF2A8D" w:rsidP="00FF2A8D">
      <w:pPr>
        <w:pStyle w:val="BodyTextIndent"/>
        <w:spacing w:line="480" w:lineRule="auto"/>
        <w:ind w:firstLine="0"/>
        <w:sectPr w:rsidR="00FF2A8D">
          <w:headerReference w:type="default" r:id="rId10"/>
          <w:footerReference w:type="even" r:id="rId11"/>
          <w:footerReference w:type="default" r:id="rId12"/>
          <w:pgSz w:w="12240" w:h="15840"/>
          <w:pgMar w:top="1440" w:right="1440" w:bottom="1440" w:left="1440" w:gutter="0"/>
        </w:sectPr>
      </w:pPr>
      <w:r w:rsidRPr="004010D6">
        <w:t>Framing tasks</w:t>
      </w:r>
      <w:r w:rsidRPr="004010D6">
        <w:rPr>
          <w:szCs w:val="24"/>
        </w:rPr>
        <w:t xml:space="preserve">; institutional logics; </w:t>
      </w:r>
      <w:r w:rsidRPr="004010D6">
        <w:t>issue selling; legitimacy judgments; social innovation; social issues</w:t>
      </w:r>
    </w:p>
    <w:p w:rsidR="00FF2A8D" w:rsidRPr="00E75558" w:rsidRDefault="00FF2A8D" w:rsidP="00FF2A8D">
      <w:pPr>
        <w:pStyle w:val="BodyTextIndent"/>
        <w:spacing w:line="480" w:lineRule="auto"/>
        <w:ind w:firstLine="0"/>
        <w:jc w:val="center"/>
        <w:rPr>
          <w:b/>
          <w:szCs w:val="24"/>
        </w:rPr>
      </w:pPr>
      <w:r w:rsidRPr="00E75558">
        <w:rPr>
          <w:b/>
          <w:szCs w:val="24"/>
        </w:rPr>
        <w:t>Selling issues with solutions: Igniting social intrapreneurship in for-profit organizations</w:t>
      </w:r>
    </w:p>
    <w:p w:rsidR="00FF2A8D" w:rsidRPr="00E75558" w:rsidRDefault="00FF2A8D" w:rsidP="00FF2A8D">
      <w:pPr>
        <w:pStyle w:val="Normal1"/>
        <w:spacing w:line="480" w:lineRule="auto"/>
        <w:jc w:val="center"/>
        <w:rPr>
          <w:rFonts w:ascii="Times New Roman" w:eastAsia="Times New Roman" w:hAnsi="Times New Roman" w:cs="Times New Roman"/>
          <w:b/>
          <w:sz w:val="24"/>
        </w:rPr>
      </w:pPr>
      <w:r w:rsidRPr="00E75558">
        <w:rPr>
          <w:rFonts w:ascii="Times New Roman" w:eastAsia="Times New Roman" w:hAnsi="Times New Roman" w:cs="Times New Roman"/>
          <w:b/>
          <w:sz w:val="24"/>
        </w:rPr>
        <w:t>INTRODUCTION</w:t>
      </w:r>
    </w:p>
    <w:p w:rsidR="00FF2A8D" w:rsidRPr="00FF2E9B" w:rsidRDefault="00FF2A8D" w:rsidP="00FF2A8D">
      <w:pPr>
        <w:pStyle w:val="Normal1"/>
        <w:spacing w:line="480" w:lineRule="auto"/>
        <w:ind w:firstLine="720"/>
        <w:rPr>
          <w:rFonts w:ascii="Times New Roman" w:hAnsi="Times New Roman"/>
          <w:color w:val="auto"/>
          <w:sz w:val="24"/>
        </w:rPr>
      </w:pPr>
      <w:r>
        <w:rPr>
          <w:rFonts w:ascii="Times New Roman" w:hAnsi="Times New Roman"/>
          <w:color w:val="auto"/>
          <w:sz w:val="24"/>
        </w:rPr>
        <w:t>Research in i</w:t>
      </w:r>
      <w:r w:rsidRPr="00FF2E9B">
        <w:rPr>
          <w:rFonts w:ascii="Times New Roman" w:hAnsi="Times New Roman"/>
          <w:color w:val="auto"/>
          <w:sz w:val="24"/>
        </w:rPr>
        <w:t xml:space="preserve">ssue selling, which is defined as “individuals’ behaviors that are directed toward affecting others’ attention to and understanding of issues” within firms (Dutton and Ashford, 1993, p. 398), </w:t>
      </w:r>
      <w:r>
        <w:rPr>
          <w:rFonts w:ascii="Times New Roman" w:hAnsi="Times New Roman"/>
          <w:color w:val="auto"/>
          <w:sz w:val="24"/>
        </w:rPr>
        <w:t xml:space="preserve">shows that selling </w:t>
      </w:r>
      <w:r w:rsidRPr="00FF2E9B">
        <w:rPr>
          <w:rFonts w:ascii="Times New Roman" w:hAnsi="Times New Roman"/>
          <w:color w:val="auto"/>
          <w:sz w:val="24"/>
        </w:rPr>
        <w:t>involves compl</w:t>
      </w:r>
      <w:r>
        <w:rPr>
          <w:rFonts w:ascii="Times New Roman" w:hAnsi="Times New Roman"/>
          <w:color w:val="auto"/>
          <w:sz w:val="24"/>
        </w:rPr>
        <w:t xml:space="preserve">ex decisions for change agents </w:t>
      </w:r>
      <w:r w:rsidRPr="00FF2E9B">
        <w:rPr>
          <w:rFonts w:ascii="Times New Roman" w:eastAsia="Times New Roman" w:hAnsi="Times New Roman" w:cs="Times New Roman"/>
          <w:color w:val="auto"/>
          <w:sz w:val="24"/>
          <w:szCs w:val="24"/>
        </w:rPr>
        <w:t xml:space="preserve">(Dutton </w:t>
      </w:r>
      <w:r w:rsidRPr="002A2443">
        <w:rPr>
          <w:rFonts w:ascii="Times New Roman" w:eastAsia="Times New Roman" w:hAnsi="Times New Roman" w:cs="Times New Roman"/>
          <w:i/>
          <w:color w:val="auto"/>
          <w:sz w:val="24"/>
          <w:szCs w:val="24"/>
        </w:rPr>
        <w:t>et al.</w:t>
      </w:r>
      <w:r w:rsidRPr="00FF2E9B">
        <w:rPr>
          <w:rFonts w:ascii="Times New Roman" w:eastAsia="Times New Roman" w:hAnsi="Times New Roman" w:cs="Times New Roman"/>
          <w:color w:val="auto"/>
          <w:sz w:val="24"/>
          <w:szCs w:val="24"/>
        </w:rPr>
        <w:t>, 2001)</w:t>
      </w:r>
      <w:r>
        <w:rPr>
          <w:rFonts w:ascii="Times New Roman" w:eastAsia="Times New Roman" w:hAnsi="Times New Roman" w:cs="Times New Roman"/>
          <w:color w:val="auto"/>
          <w:sz w:val="24"/>
          <w:szCs w:val="24"/>
        </w:rPr>
        <w:t xml:space="preserve">. </w:t>
      </w:r>
      <w:r>
        <w:rPr>
          <w:rFonts w:ascii="Times New Roman" w:hAnsi="Times New Roman"/>
          <w:color w:val="auto"/>
          <w:sz w:val="24"/>
        </w:rPr>
        <w:t xml:space="preserve">First, sellers </w:t>
      </w:r>
      <w:r w:rsidRPr="00FF2E9B">
        <w:rPr>
          <w:rFonts w:ascii="Times New Roman" w:hAnsi="Times New Roman"/>
          <w:color w:val="auto"/>
          <w:sz w:val="24"/>
        </w:rPr>
        <w:t xml:space="preserve">have to decide the </w:t>
      </w:r>
      <w:r w:rsidRPr="00FF2E9B">
        <w:rPr>
          <w:rFonts w:ascii="Times New Roman" w:hAnsi="Times New Roman"/>
          <w:i/>
          <w:color w:val="auto"/>
          <w:sz w:val="24"/>
        </w:rPr>
        <w:t>content of selling</w:t>
      </w:r>
      <w:r w:rsidRPr="00FF2E9B">
        <w:rPr>
          <w:rFonts w:ascii="Times New Roman" w:hAnsi="Times New Roman"/>
          <w:color w:val="auto"/>
          <w:sz w:val="24"/>
        </w:rPr>
        <w:t xml:space="preserve">: </w:t>
      </w:r>
      <w:r w:rsidRPr="00FF2E9B">
        <w:rPr>
          <w:rFonts w:ascii="Times New Roman" w:eastAsia="Times New Roman" w:hAnsi="Times New Roman" w:cs="Times New Roman"/>
          <w:color w:val="auto"/>
          <w:sz w:val="24"/>
          <w:szCs w:val="24"/>
        </w:rPr>
        <w:t>whether it is better to sell an issue with a solution or in more abstract terms</w:t>
      </w:r>
      <w:r>
        <w:rPr>
          <w:rFonts w:ascii="Times New Roman" w:eastAsia="Times New Roman" w:hAnsi="Times New Roman" w:cs="Times New Roman"/>
          <w:color w:val="auto"/>
          <w:sz w:val="24"/>
          <w:szCs w:val="24"/>
        </w:rPr>
        <w:t>;</w:t>
      </w:r>
      <w:r w:rsidRPr="00FF2E9B">
        <w:rPr>
          <w:rFonts w:ascii="Times New Roman" w:eastAsia="Times New Roman" w:hAnsi="Times New Roman" w:cs="Times New Roman"/>
          <w:color w:val="auto"/>
          <w:sz w:val="24"/>
          <w:szCs w:val="24"/>
        </w:rPr>
        <w:t xml:space="preserve"> whether to tie the issue to other concerns</w:t>
      </w:r>
      <w:r>
        <w:rPr>
          <w:rFonts w:ascii="Times New Roman" w:eastAsia="Times New Roman" w:hAnsi="Times New Roman" w:cs="Times New Roman"/>
          <w:color w:val="auto"/>
          <w:sz w:val="24"/>
          <w:szCs w:val="24"/>
        </w:rPr>
        <w:t>;</w:t>
      </w:r>
      <w:r w:rsidRPr="00FF2E9B">
        <w:rPr>
          <w:rFonts w:ascii="Times New Roman" w:eastAsia="Times New Roman" w:hAnsi="Times New Roman" w:cs="Times New Roman"/>
          <w:color w:val="auto"/>
          <w:sz w:val="24"/>
          <w:szCs w:val="24"/>
        </w:rPr>
        <w:t xml:space="preserve"> how to package or frame the issue</w:t>
      </w:r>
      <w:r w:rsidRPr="00FF2E9B">
        <w:rPr>
          <w:rFonts w:ascii="Times New Roman" w:hAnsi="Times New Roman"/>
          <w:color w:val="auto"/>
          <w:sz w:val="24"/>
        </w:rPr>
        <w:t xml:space="preserve">. </w:t>
      </w:r>
      <w:r w:rsidRPr="00FF2E9B">
        <w:rPr>
          <w:rFonts w:ascii="Times New Roman" w:eastAsia="Times New Roman" w:hAnsi="Times New Roman" w:cs="Times New Roman"/>
          <w:color w:val="auto"/>
          <w:sz w:val="24"/>
          <w:szCs w:val="24"/>
        </w:rPr>
        <w:t xml:space="preserve">Second, sellers </w:t>
      </w:r>
      <w:r>
        <w:rPr>
          <w:rFonts w:ascii="Times New Roman" w:eastAsia="Times New Roman" w:hAnsi="Times New Roman" w:cs="Times New Roman"/>
          <w:color w:val="auto"/>
          <w:sz w:val="24"/>
          <w:szCs w:val="24"/>
        </w:rPr>
        <w:t>must</w:t>
      </w:r>
      <w:r w:rsidRPr="00FF2E9B">
        <w:rPr>
          <w:rFonts w:ascii="Times New Roman" w:eastAsia="Times New Roman" w:hAnsi="Times New Roman" w:cs="Times New Roman"/>
          <w:color w:val="auto"/>
          <w:sz w:val="24"/>
          <w:szCs w:val="24"/>
        </w:rPr>
        <w:t xml:space="preserve"> determine how to </w:t>
      </w:r>
      <w:r w:rsidRPr="00FF2E9B">
        <w:rPr>
          <w:rFonts w:ascii="Times New Roman" w:eastAsia="Times New Roman" w:hAnsi="Times New Roman" w:cs="Times New Roman"/>
          <w:i/>
          <w:color w:val="auto"/>
          <w:sz w:val="24"/>
          <w:szCs w:val="24"/>
        </w:rPr>
        <w:t>perform selling</w:t>
      </w:r>
      <w:r w:rsidRPr="00FF2E9B">
        <w:rPr>
          <w:rFonts w:ascii="Times New Roman" w:eastAsia="Times New Roman" w:hAnsi="Times New Roman" w:cs="Times New Roman"/>
          <w:color w:val="auto"/>
          <w:sz w:val="24"/>
          <w:szCs w:val="24"/>
        </w:rPr>
        <w:t>: who</w:t>
      </w:r>
      <w:r>
        <w:rPr>
          <w:rFonts w:ascii="Times New Roman" w:eastAsia="Times New Roman" w:hAnsi="Times New Roman" w:cs="Times New Roman"/>
          <w:color w:val="auto"/>
          <w:sz w:val="24"/>
          <w:szCs w:val="24"/>
        </w:rPr>
        <w:t>m</w:t>
      </w:r>
      <w:r w:rsidRPr="00FF2E9B">
        <w:rPr>
          <w:rFonts w:ascii="Times New Roman" w:eastAsia="Times New Roman" w:hAnsi="Times New Roman" w:cs="Times New Roman"/>
          <w:color w:val="auto"/>
          <w:sz w:val="24"/>
          <w:szCs w:val="24"/>
        </w:rPr>
        <w:t xml:space="preserve"> they will target and involve</w:t>
      </w:r>
      <w:r>
        <w:rPr>
          <w:rFonts w:ascii="Times New Roman" w:eastAsia="Times New Roman" w:hAnsi="Times New Roman" w:cs="Times New Roman"/>
          <w:color w:val="auto"/>
          <w:sz w:val="24"/>
          <w:szCs w:val="24"/>
        </w:rPr>
        <w:t>;</w:t>
      </w:r>
      <w:r w:rsidRPr="00FF2E9B">
        <w:rPr>
          <w:rFonts w:ascii="Times New Roman" w:eastAsia="Times New Roman" w:hAnsi="Times New Roman" w:cs="Times New Roman"/>
          <w:color w:val="auto"/>
          <w:sz w:val="24"/>
          <w:szCs w:val="24"/>
        </w:rPr>
        <w:t xml:space="preserve"> the level of formality of the </w:t>
      </w:r>
      <w:r>
        <w:rPr>
          <w:rFonts w:ascii="Times New Roman" w:eastAsia="Times New Roman" w:hAnsi="Times New Roman" w:cs="Times New Roman"/>
          <w:color w:val="auto"/>
          <w:sz w:val="24"/>
          <w:szCs w:val="24"/>
        </w:rPr>
        <w:t xml:space="preserve">selling </w:t>
      </w:r>
      <w:r w:rsidRPr="00FF2E9B">
        <w:rPr>
          <w:rFonts w:ascii="Times New Roman" w:eastAsia="Times New Roman" w:hAnsi="Times New Roman" w:cs="Times New Roman"/>
          <w:color w:val="auto"/>
          <w:sz w:val="24"/>
          <w:szCs w:val="24"/>
        </w:rPr>
        <w:t>initiative</w:t>
      </w:r>
      <w:r>
        <w:rPr>
          <w:rFonts w:ascii="Times New Roman" w:eastAsia="Times New Roman" w:hAnsi="Times New Roman" w:cs="Times New Roman"/>
          <w:color w:val="auto"/>
          <w:sz w:val="24"/>
          <w:szCs w:val="24"/>
        </w:rPr>
        <w:t>;</w:t>
      </w:r>
      <w:r w:rsidRPr="00FF2E9B">
        <w:rPr>
          <w:rFonts w:ascii="Times New Roman" w:eastAsia="Times New Roman" w:hAnsi="Times New Roman" w:cs="Times New Roman"/>
          <w:color w:val="auto"/>
          <w:sz w:val="24"/>
          <w:szCs w:val="24"/>
        </w:rPr>
        <w:t xml:space="preserve"> the best timing. Each of these decisions </w:t>
      </w:r>
      <w:r>
        <w:rPr>
          <w:rFonts w:ascii="Times New Roman" w:eastAsia="Times New Roman" w:hAnsi="Times New Roman" w:cs="Times New Roman"/>
          <w:color w:val="auto"/>
          <w:sz w:val="24"/>
          <w:szCs w:val="24"/>
        </w:rPr>
        <w:t>may influence</w:t>
      </w:r>
      <w:r w:rsidRPr="00FF2E9B">
        <w:rPr>
          <w:rFonts w:ascii="Times New Roman" w:eastAsia="Times New Roman" w:hAnsi="Times New Roman" w:cs="Times New Roman"/>
          <w:color w:val="auto"/>
          <w:sz w:val="24"/>
          <w:szCs w:val="24"/>
        </w:rPr>
        <w:t xml:space="preserve"> the likelihood of selling success, highlighting the importance of the knowledge </w:t>
      </w:r>
      <w:r>
        <w:rPr>
          <w:rFonts w:ascii="Times New Roman" w:eastAsia="Times New Roman" w:hAnsi="Times New Roman" w:cs="Times New Roman"/>
          <w:color w:val="auto"/>
          <w:sz w:val="24"/>
          <w:szCs w:val="24"/>
        </w:rPr>
        <w:t xml:space="preserve">individuals </w:t>
      </w:r>
      <w:r w:rsidRPr="00FF2E9B">
        <w:rPr>
          <w:rFonts w:ascii="Times New Roman" w:eastAsia="Times New Roman" w:hAnsi="Times New Roman" w:cs="Times New Roman"/>
          <w:color w:val="auto"/>
          <w:sz w:val="24"/>
          <w:szCs w:val="24"/>
        </w:rPr>
        <w:t xml:space="preserve">accumulate during the preparation stages of issue selling (Dutton </w:t>
      </w:r>
      <w:r w:rsidRPr="002A2443">
        <w:rPr>
          <w:rFonts w:ascii="Times New Roman" w:eastAsia="Times New Roman" w:hAnsi="Times New Roman" w:cs="Times New Roman"/>
          <w:i/>
          <w:color w:val="auto"/>
          <w:sz w:val="24"/>
          <w:szCs w:val="24"/>
        </w:rPr>
        <w:t>et al.</w:t>
      </w:r>
      <w:r w:rsidRPr="00FF2E9B">
        <w:rPr>
          <w:rFonts w:ascii="Times New Roman" w:eastAsia="Times New Roman" w:hAnsi="Times New Roman" w:cs="Times New Roman"/>
          <w:color w:val="auto"/>
          <w:sz w:val="24"/>
          <w:szCs w:val="24"/>
        </w:rPr>
        <w:t xml:space="preserve">, 2001). Yet selling tactics, and consequently the knowledge </w:t>
      </w:r>
      <w:r>
        <w:rPr>
          <w:rFonts w:ascii="Times New Roman" w:eastAsia="Times New Roman" w:hAnsi="Times New Roman" w:cs="Times New Roman"/>
          <w:color w:val="auto"/>
          <w:sz w:val="24"/>
          <w:szCs w:val="24"/>
        </w:rPr>
        <w:t xml:space="preserve">sellers </w:t>
      </w:r>
      <w:r w:rsidRPr="00FF2E9B">
        <w:rPr>
          <w:rFonts w:ascii="Times New Roman" w:eastAsia="Times New Roman" w:hAnsi="Times New Roman" w:cs="Times New Roman"/>
          <w:color w:val="auto"/>
          <w:sz w:val="24"/>
          <w:szCs w:val="24"/>
        </w:rPr>
        <w:t>gather, may shift</w:t>
      </w:r>
      <w:r>
        <w:rPr>
          <w:rFonts w:ascii="Times New Roman" w:eastAsia="Times New Roman" w:hAnsi="Times New Roman" w:cs="Times New Roman"/>
          <w:color w:val="auto"/>
          <w:sz w:val="24"/>
          <w:szCs w:val="24"/>
        </w:rPr>
        <w:t xml:space="preserve"> </w:t>
      </w:r>
      <w:r w:rsidRPr="00FF2E9B">
        <w:rPr>
          <w:rFonts w:ascii="Times New Roman" w:eastAsia="Times New Roman" w:hAnsi="Times New Roman" w:cs="Times New Roman"/>
          <w:color w:val="auto"/>
          <w:sz w:val="24"/>
          <w:szCs w:val="24"/>
        </w:rPr>
        <w:t>subject to the type of issue being sold (Piderit and Ashford, 2003).</w:t>
      </w:r>
    </w:p>
    <w:p w:rsidR="00FF2A8D" w:rsidRDefault="00FF2A8D" w:rsidP="00FF2A8D">
      <w:pPr>
        <w:pStyle w:val="Normal1"/>
        <w:spacing w:line="480" w:lineRule="auto"/>
        <w:ind w:firstLine="720"/>
        <w:rPr>
          <w:rFonts w:ascii="Times New Roman" w:hAnsi="Times New Roman"/>
          <w:sz w:val="24"/>
        </w:rPr>
      </w:pPr>
      <w:r w:rsidRPr="00FF2E9B">
        <w:rPr>
          <w:rFonts w:ascii="Times New Roman" w:eastAsia="Times New Roman" w:hAnsi="Times New Roman" w:cs="Times New Roman"/>
          <w:color w:val="auto"/>
          <w:sz w:val="24"/>
          <w:szCs w:val="24"/>
        </w:rPr>
        <w:t xml:space="preserve">Researchers of social issues in management </w:t>
      </w:r>
      <w:r w:rsidRPr="00FF2E9B">
        <w:rPr>
          <w:rFonts w:ascii="Times New Roman" w:hAnsi="Times New Roman"/>
          <w:color w:val="auto"/>
          <w:sz w:val="24"/>
        </w:rPr>
        <w:t>(</w:t>
      </w:r>
      <w:r>
        <w:rPr>
          <w:rFonts w:ascii="Times New Roman" w:hAnsi="Times New Roman"/>
          <w:color w:val="auto"/>
          <w:sz w:val="24"/>
        </w:rPr>
        <w:t xml:space="preserve">Andersson and Bateman, 2000; </w:t>
      </w:r>
      <w:r w:rsidRPr="00FF2E9B">
        <w:rPr>
          <w:rFonts w:ascii="Times New Roman" w:hAnsi="Times New Roman"/>
          <w:color w:val="auto"/>
          <w:sz w:val="24"/>
        </w:rPr>
        <w:t>Bansal, 2003; Howard-Grenville, 2007;</w:t>
      </w:r>
      <w:r w:rsidRPr="00335582">
        <w:rPr>
          <w:rFonts w:ascii="Times New Roman" w:hAnsi="Times New Roman"/>
          <w:sz w:val="24"/>
        </w:rPr>
        <w:t xml:space="preserve"> Sonenshein, </w:t>
      </w:r>
      <w:r>
        <w:rPr>
          <w:rFonts w:ascii="Times New Roman" w:hAnsi="Times New Roman"/>
          <w:sz w:val="24"/>
        </w:rPr>
        <w:t xml:space="preserve">2006, </w:t>
      </w:r>
      <w:r w:rsidRPr="00335582">
        <w:rPr>
          <w:rFonts w:ascii="Times New Roman" w:hAnsi="Times New Roman"/>
          <w:sz w:val="24"/>
        </w:rPr>
        <w:t>2012, 2014)</w:t>
      </w:r>
      <w:r>
        <w:rPr>
          <w:rFonts w:ascii="Times New Roman" w:hAnsi="Times New Roman"/>
          <w:sz w:val="24"/>
        </w:rPr>
        <w:t xml:space="preserve"> have fruitfully explored this line of inquiry, linking knowledge of organizational values and targets to both selling tactics and selling success. However, the contributions of this previous research are limited in two ways. First, previous studies have conflated the way in which sellers craft discourse about issues with the way sellers craft solutions (e.g., Bansal, 2003). Yet, many social issue selling initiatives fail because of the lack of a viable solution (Bansal, 2003; Howard-Grenville, 2007), showing the importance of theorizing o</w:t>
      </w:r>
      <w:r>
        <w:rPr>
          <w:rFonts w:ascii="Times New Roman" w:hAnsi="Times New Roman"/>
          <w:color w:val="auto"/>
          <w:sz w:val="24"/>
        </w:rPr>
        <w:t xml:space="preserve">n </w:t>
      </w:r>
      <w:r w:rsidRPr="00E75558">
        <w:rPr>
          <w:rFonts w:ascii="Times New Roman" w:hAnsi="Times New Roman"/>
          <w:color w:val="auto"/>
          <w:sz w:val="24"/>
        </w:rPr>
        <w:t xml:space="preserve">how solutions </w:t>
      </w:r>
      <w:r>
        <w:rPr>
          <w:rFonts w:ascii="Times New Roman" w:hAnsi="Times New Roman"/>
          <w:color w:val="auto"/>
          <w:sz w:val="24"/>
        </w:rPr>
        <w:t xml:space="preserve">may be crafted </w:t>
      </w:r>
      <w:r w:rsidR="009A4F05">
        <w:rPr>
          <w:rFonts w:ascii="Times New Roman" w:hAnsi="Times New Roman"/>
          <w:color w:val="auto"/>
          <w:sz w:val="24"/>
        </w:rPr>
        <w:t>to</w:t>
      </w:r>
      <w:r w:rsidR="0002695A">
        <w:rPr>
          <w:rFonts w:ascii="Times New Roman" w:hAnsi="Times New Roman"/>
          <w:color w:val="auto"/>
          <w:sz w:val="24"/>
        </w:rPr>
        <w:t xml:space="preserve"> </w:t>
      </w:r>
      <w:r w:rsidR="00EA4831">
        <w:rPr>
          <w:rFonts w:ascii="Times New Roman" w:hAnsi="Times New Roman"/>
          <w:color w:val="auto"/>
          <w:sz w:val="24"/>
        </w:rPr>
        <w:t xml:space="preserve">effectively </w:t>
      </w:r>
      <w:r>
        <w:rPr>
          <w:rFonts w:ascii="Times New Roman" w:hAnsi="Times New Roman"/>
          <w:color w:val="auto"/>
          <w:sz w:val="24"/>
        </w:rPr>
        <w:t>promote</w:t>
      </w:r>
      <w:r w:rsidRPr="00E75558">
        <w:rPr>
          <w:rFonts w:ascii="Times New Roman" w:hAnsi="Times New Roman"/>
          <w:color w:val="auto"/>
          <w:sz w:val="24"/>
        </w:rPr>
        <w:t xml:space="preserve"> selling success.</w:t>
      </w:r>
      <w:r>
        <w:rPr>
          <w:rFonts w:ascii="Times New Roman" w:hAnsi="Times New Roman"/>
          <w:color w:val="auto"/>
          <w:sz w:val="24"/>
        </w:rPr>
        <w:t xml:space="preserve"> Second, although prior studies have shown that sellers can justify social issues on both </w:t>
      </w:r>
      <w:r>
        <w:rPr>
          <w:rFonts w:ascii="Times New Roman" w:hAnsi="Times New Roman"/>
          <w:sz w:val="24"/>
        </w:rPr>
        <w:t>instrumental and normative grounds (</w:t>
      </w:r>
      <w:r>
        <w:rPr>
          <w:rFonts w:ascii="Times New Roman" w:hAnsi="Times New Roman"/>
          <w:color w:val="auto"/>
          <w:sz w:val="24"/>
        </w:rPr>
        <w:t xml:space="preserve">Andersson and Bateman, 2000; </w:t>
      </w:r>
      <w:r>
        <w:rPr>
          <w:rFonts w:ascii="Times New Roman" w:hAnsi="Times New Roman"/>
          <w:sz w:val="24"/>
        </w:rPr>
        <w:t>Bansal, 2003; Sonenshein, 2006), previous work is inconclusive regarding when doing so can enhance the likelihood of selling success. Targets and organizations respond to issues independently (Bansal, 2003) and, as such, understanding how to reconcile knowledge on both meaning systems is essential to improve explanations of successful issue selling in for-profit organizations.</w:t>
      </w:r>
    </w:p>
    <w:p w:rsidR="00FF2A8D" w:rsidRDefault="00FF2A8D" w:rsidP="00FF2A8D">
      <w:pPr>
        <w:pStyle w:val="Normal1"/>
        <w:spacing w:line="480" w:lineRule="auto"/>
        <w:ind w:firstLine="720"/>
        <w:rPr>
          <w:rFonts w:ascii="Times New Roman" w:hAnsi="Times New Roman"/>
          <w:sz w:val="24"/>
          <w:szCs w:val="24"/>
        </w:rPr>
      </w:pPr>
      <w:r w:rsidRPr="00B024F4">
        <w:rPr>
          <w:rFonts w:ascii="Times New Roman" w:eastAsia="Times New Roman" w:hAnsi="Times New Roman" w:cs="Times New Roman"/>
          <w:color w:val="auto"/>
          <w:sz w:val="24"/>
          <w:szCs w:val="24"/>
        </w:rPr>
        <w:t>In this paper, we make the case that general explanations of issue selling success</w:t>
      </w:r>
      <w:r>
        <w:rPr>
          <w:rFonts w:ascii="Times New Roman" w:eastAsia="Times New Roman" w:hAnsi="Times New Roman" w:cs="Times New Roman"/>
          <w:color w:val="auto"/>
          <w:sz w:val="24"/>
          <w:szCs w:val="24"/>
        </w:rPr>
        <w:t xml:space="preserve">—and of </w:t>
      </w:r>
      <w:r w:rsidRPr="00B024F4">
        <w:rPr>
          <w:rFonts w:ascii="Times New Roman" w:eastAsia="Times New Roman" w:hAnsi="Times New Roman" w:cs="Times New Roman"/>
          <w:color w:val="auto"/>
          <w:sz w:val="24"/>
          <w:szCs w:val="24"/>
        </w:rPr>
        <w:t>social issue selling</w:t>
      </w:r>
      <w:r>
        <w:rPr>
          <w:rFonts w:ascii="Times New Roman" w:eastAsia="Times New Roman" w:hAnsi="Times New Roman" w:cs="Times New Roman"/>
          <w:color w:val="auto"/>
          <w:sz w:val="24"/>
          <w:szCs w:val="24"/>
        </w:rPr>
        <w:t>,</w:t>
      </w:r>
      <w:r w:rsidRPr="00B024F4">
        <w:rPr>
          <w:rFonts w:ascii="Times New Roman" w:eastAsia="Times New Roman" w:hAnsi="Times New Roman" w:cs="Times New Roman"/>
          <w:color w:val="auto"/>
          <w:sz w:val="24"/>
          <w:szCs w:val="24"/>
        </w:rPr>
        <w:t xml:space="preserve"> specifically</w:t>
      </w:r>
      <w:r>
        <w:rPr>
          <w:rFonts w:ascii="Times New Roman" w:eastAsia="Times New Roman" w:hAnsi="Times New Roman" w:cs="Times New Roman"/>
          <w:color w:val="auto"/>
          <w:sz w:val="24"/>
          <w:szCs w:val="24"/>
        </w:rPr>
        <w:t xml:space="preserve">—can </w:t>
      </w:r>
      <w:r w:rsidRPr="00B024F4">
        <w:rPr>
          <w:rFonts w:ascii="Times New Roman" w:eastAsia="Times New Roman" w:hAnsi="Times New Roman" w:cs="Times New Roman"/>
          <w:color w:val="auto"/>
          <w:sz w:val="24"/>
          <w:szCs w:val="24"/>
        </w:rPr>
        <w:t xml:space="preserve">be enhanced through a renewed focus on </w:t>
      </w:r>
      <w:r>
        <w:rPr>
          <w:rFonts w:ascii="Times New Roman" w:eastAsia="Times New Roman" w:hAnsi="Times New Roman" w:cs="Times New Roman"/>
          <w:color w:val="auto"/>
          <w:sz w:val="24"/>
          <w:szCs w:val="24"/>
        </w:rPr>
        <w:t>sellers’</w:t>
      </w:r>
      <w:r w:rsidRPr="00B024F4">
        <w:rPr>
          <w:rFonts w:ascii="Times New Roman" w:eastAsia="Times New Roman" w:hAnsi="Times New Roman" w:cs="Times New Roman"/>
          <w:color w:val="auto"/>
          <w:sz w:val="24"/>
          <w:szCs w:val="24"/>
        </w:rPr>
        <w:t xml:space="preserve"> content choices and how these relate to the organizational context and selling targets. </w:t>
      </w:r>
      <w:r>
        <w:rPr>
          <w:rFonts w:ascii="Times New Roman" w:eastAsia="Times New Roman" w:hAnsi="Times New Roman" w:cs="Times New Roman"/>
          <w:color w:val="auto"/>
          <w:sz w:val="24"/>
          <w:szCs w:val="24"/>
        </w:rPr>
        <w:t xml:space="preserve">Marrying the selling process with institutional logics </w:t>
      </w:r>
      <w:r w:rsidRPr="00E75558">
        <w:rPr>
          <w:rFonts w:ascii="Times New Roman" w:eastAsia="Calibri" w:hAnsi="Times New Roman"/>
          <w:sz w:val="24"/>
          <w:szCs w:val="14"/>
        </w:rPr>
        <w:t>(Friedland and Alford, 1991)</w:t>
      </w:r>
      <w:r>
        <w:rPr>
          <w:rFonts w:ascii="Times New Roman" w:eastAsia="Calibri" w:hAnsi="Times New Roman"/>
          <w:sz w:val="24"/>
          <w:szCs w:val="14"/>
        </w:rPr>
        <w:t xml:space="preserve"> and the framing perspective in social movements (</w:t>
      </w:r>
      <w:r w:rsidRPr="006F20A0">
        <w:rPr>
          <w:rFonts w:ascii="Times New Roman" w:eastAsia="Times New Roman" w:hAnsi="Times New Roman" w:cs="Times New Roman"/>
          <w:color w:val="auto"/>
          <w:sz w:val="24"/>
          <w:szCs w:val="24"/>
        </w:rPr>
        <w:t xml:space="preserve">Benford and Snow, 2000; Snow </w:t>
      </w:r>
      <w:r w:rsidRPr="002A2443">
        <w:rPr>
          <w:rFonts w:ascii="Times New Roman" w:eastAsia="Times New Roman" w:hAnsi="Times New Roman" w:cs="Times New Roman"/>
          <w:i/>
          <w:color w:val="auto"/>
          <w:sz w:val="24"/>
          <w:szCs w:val="24"/>
        </w:rPr>
        <w:t>et al.</w:t>
      </w:r>
      <w:r w:rsidRPr="006F20A0">
        <w:rPr>
          <w:rFonts w:ascii="Times New Roman" w:eastAsia="Times New Roman" w:hAnsi="Times New Roman" w:cs="Times New Roman"/>
          <w:color w:val="auto"/>
          <w:sz w:val="24"/>
          <w:szCs w:val="24"/>
        </w:rPr>
        <w:t>, 1986</w:t>
      </w:r>
      <w:r>
        <w:rPr>
          <w:rFonts w:ascii="Times New Roman" w:eastAsia="Times New Roman" w:hAnsi="Times New Roman" w:cs="Times New Roman"/>
          <w:color w:val="auto"/>
          <w:sz w:val="24"/>
          <w:szCs w:val="24"/>
        </w:rPr>
        <w:t xml:space="preserve">), </w:t>
      </w:r>
      <w:r w:rsidRPr="00E75558">
        <w:rPr>
          <w:rFonts w:ascii="Times New Roman" w:eastAsia="Calibri" w:hAnsi="Times New Roman"/>
          <w:sz w:val="24"/>
          <w:szCs w:val="14"/>
        </w:rPr>
        <w:t xml:space="preserve">we offer an explanation of issue selling that </w:t>
      </w:r>
      <w:r w:rsidRPr="00E75558">
        <w:rPr>
          <w:rFonts w:ascii="Times New Roman" w:hAnsi="Times New Roman"/>
          <w:sz w:val="24"/>
          <w:szCs w:val="24"/>
        </w:rPr>
        <w:t>articulates the multiple ways in which socially</w:t>
      </w:r>
      <w:r>
        <w:rPr>
          <w:rFonts w:ascii="Times New Roman" w:hAnsi="Times New Roman"/>
          <w:sz w:val="24"/>
          <w:szCs w:val="24"/>
        </w:rPr>
        <w:t xml:space="preserve"> </w:t>
      </w:r>
      <w:r w:rsidRPr="00E75558">
        <w:rPr>
          <w:rFonts w:ascii="Times New Roman" w:hAnsi="Times New Roman"/>
          <w:sz w:val="24"/>
          <w:szCs w:val="24"/>
        </w:rPr>
        <w:t>oriented innovations can be legitimated in for-profit organizations through the work of bottom-up change agents.</w:t>
      </w:r>
    </w:p>
    <w:p w:rsidR="00FF2A8D" w:rsidRPr="00E75558" w:rsidRDefault="00FF2A8D" w:rsidP="00FF2A8D">
      <w:pPr>
        <w:pStyle w:val="Normal1"/>
        <w:spacing w:line="480" w:lineRule="auto"/>
        <w:ind w:firstLine="720"/>
        <w:rPr>
          <w:rFonts w:ascii="Times New Roman" w:hAnsi="Times New Roman"/>
          <w:sz w:val="24"/>
        </w:rPr>
      </w:pPr>
      <w:r w:rsidRPr="00E75558">
        <w:rPr>
          <w:rFonts w:ascii="Times New Roman" w:hAnsi="Times New Roman"/>
          <w:sz w:val="24"/>
        </w:rPr>
        <w:t>C</w:t>
      </w:r>
      <w:r w:rsidRPr="00E75558">
        <w:rPr>
          <w:rFonts w:ascii="Times New Roman" w:eastAsia="Times New Roman" w:hAnsi="Times New Roman" w:cs="Times New Roman"/>
          <w:color w:val="auto"/>
          <w:sz w:val="24"/>
          <w:szCs w:val="24"/>
        </w:rPr>
        <w:t>hange agents working at the intersections of sustainability, ethics, and entrepreneurship within organizations are increa</w:t>
      </w:r>
      <w:r>
        <w:rPr>
          <w:rFonts w:ascii="Times New Roman" w:eastAsia="Times New Roman" w:hAnsi="Times New Roman" w:cs="Times New Roman"/>
          <w:color w:val="auto"/>
          <w:sz w:val="24"/>
          <w:szCs w:val="24"/>
        </w:rPr>
        <w:t xml:space="preserve">singly challenging the dominance of the </w:t>
      </w:r>
      <w:r w:rsidRPr="00AF1D45">
        <w:rPr>
          <w:rFonts w:ascii="Times New Roman" w:eastAsia="Times New Roman" w:hAnsi="Times New Roman" w:cs="Times New Roman"/>
          <w:color w:val="auto"/>
          <w:sz w:val="24"/>
          <w:szCs w:val="24"/>
        </w:rPr>
        <w:t>commercial logic in for-</w:t>
      </w:r>
      <w:r w:rsidRPr="00B91F3D">
        <w:rPr>
          <w:rFonts w:ascii="Times New Roman" w:eastAsia="Times New Roman" w:hAnsi="Times New Roman" w:cs="Times New Roman"/>
          <w:color w:val="auto"/>
          <w:sz w:val="24"/>
          <w:szCs w:val="24"/>
        </w:rPr>
        <w:t xml:space="preserve">profit organizations. These individuals, also known as </w:t>
      </w:r>
      <w:r w:rsidR="00B84292">
        <w:rPr>
          <w:rFonts w:ascii="Times New Roman" w:eastAsia="Times New Roman" w:hAnsi="Times New Roman" w:cs="Times New Roman"/>
          <w:color w:val="auto"/>
          <w:sz w:val="24"/>
          <w:szCs w:val="24"/>
        </w:rPr>
        <w:t>‘</w:t>
      </w:r>
      <w:r w:rsidRPr="00B91F3D">
        <w:rPr>
          <w:rFonts w:ascii="Times New Roman" w:eastAsia="Times New Roman" w:hAnsi="Times New Roman" w:cs="Times New Roman"/>
          <w:color w:val="auto"/>
          <w:sz w:val="24"/>
          <w:szCs w:val="24"/>
        </w:rPr>
        <w:t>social intrapreneurs</w:t>
      </w:r>
      <w:r w:rsidR="00B84292">
        <w:rPr>
          <w:rFonts w:ascii="Times New Roman" w:eastAsia="Times New Roman" w:hAnsi="Times New Roman" w:cs="Times New Roman"/>
          <w:color w:val="auto"/>
          <w:sz w:val="24"/>
          <w:szCs w:val="24"/>
        </w:rPr>
        <w:t>’</w:t>
      </w:r>
      <w:r w:rsidRPr="00B91F3D">
        <w:rPr>
          <w:rFonts w:ascii="Times New Roman" w:hAnsi="Times New Roman"/>
          <w:sz w:val="24"/>
        </w:rPr>
        <w:t xml:space="preserve"> </w:t>
      </w:r>
      <w:r w:rsidRPr="00B91F3D">
        <w:rPr>
          <w:rFonts w:ascii="Times New Roman" w:hAnsi="Times New Roman" w:cs="Times New Roman"/>
          <w:sz w:val="24"/>
          <w:szCs w:val="22"/>
        </w:rPr>
        <w:t xml:space="preserve">(Davis and White, 2015; Grayson </w:t>
      </w:r>
      <w:r w:rsidRPr="002A2443">
        <w:rPr>
          <w:rFonts w:ascii="Times New Roman" w:hAnsi="Times New Roman" w:cs="Times New Roman"/>
          <w:i/>
          <w:sz w:val="24"/>
          <w:szCs w:val="22"/>
        </w:rPr>
        <w:t>et al.</w:t>
      </w:r>
      <w:r w:rsidRPr="00B91F3D">
        <w:rPr>
          <w:rFonts w:ascii="Times New Roman" w:hAnsi="Times New Roman" w:cs="Times New Roman"/>
          <w:sz w:val="24"/>
          <w:szCs w:val="22"/>
        </w:rPr>
        <w:t>, 2014; Net Impact, 2009; SustainAbility, 2008), work to advance solutions</w:t>
      </w:r>
      <w:r w:rsidRPr="00AF1D45">
        <w:rPr>
          <w:rFonts w:ascii="Times New Roman" w:hAnsi="Times New Roman" w:cs="Times New Roman"/>
          <w:sz w:val="24"/>
          <w:szCs w:val="22"/>
        </w:rPr>
        <w:t xml:space="preserve"> to social issues that may range from ‘not-for-loss’ to</w:t>
      </w:r>
      <w:r w:rsidRPr="00E75558">
        <w:rPr>
          <w:rFonts w:ascii="Times New Roman" w:hAnsi="Times New Roman" w:cs="Times New Roman"/>
          <w:sz w:val="24"/>
          <w:szCs w:val="22"/>
        </w:rPr>
        <w:t xml:space="preserve"> market penetration in bottom</w:t>
      </w:r>
      <w:r>
        <w:rPr>
          <w:rFonts w:ascii="Times New Roman" w:hAnsi="Times New Roman" w:cs="Times New Roman"/>
          <w:sz w:val="24"/>
          <w:szCs w:val="22"/>
        </w:rPr>
        <w:t>-</w:t>
      </w:r>
      <w:r w:rsidRPr="00E75558">
        <w:rPr>
          <w:rFonts w:ascii="Times New Roman" w:hAnsi="Times New Roman" w:cs="Times New Roman"/>
          <w:sz w:val="24"/>
          <w:szCs w:val="22"/>
        </w:rPr>
        <w:t>of</w:t>
      </w:r>
      <w:r>
        <w:rPr>
          <w:rFonts w:ascii="Times New Roman" w:hAnsi="Times New Roman" w:cs="Times New Roman"/>
          <w:sz w:val="24"/>
          <w:szCs w:val="22"/>
        </w:rPr>
        <w:t>-</w:t>
      </w:r>
      <w:r w:rsidRPr="00E75558">
        <w:rPr>
          <w:rFonts w:ascii="Times New Roman" w:hAnsi="Times New Roman" w:cs="Times New Roman"/>
          <w:sz w:val="24"/>
          <w:szCs w:val="22"/>
        </w:rPr>
        <w:t>the</w:t>
      </w:r>
      <w:r>
        <w:rPr>
          <w:rFonts w:ascii="Times New Roman" w:hAnsi="Times New Roman" w:cs="Times New Roman"/>
          <w:sz w:val="24"/>
          <w:szCs w:val="22"/>
        </w:rPr>
        <w:t>-</w:t>
      </w:r>
      <w:r w:rsidRPr="00E75558">
        <w:rPr>
          <w:rFonts w:ascii="Times New Roman" w:hAnsi="Times New Roman" w:cs="Times New Roman"/>
          <w:sz w:val="24"/>
          <w:szCs w:val="22"/>
        </w:rPr>
        <w:t xml:space="preserve">pyramid markets, showing in practice the multiple ways in which </w:t>
      </w:r>
      <w:r>
        <w:rPr>
          <w:rFonts w:ascii="Times New Roman" w:hAnsi="Times New Roman" w:cs="Times New Roman"/>
          <w:sz w:val="24"/>
          <w:szCs w:val="22"/>
        </w:rPr>
        <w:t>sellers can work with context and target signals to advance social innovations.</w:t>
      </w:r>
    </w:p>
    <w:p w:rsidR="00FF2A8D" w:rsidRPr="005720AF" w:rsidRDefault="00FF2A8D" w:rsidP="00FF2A8D">
      <w:pPr>
        <w:pStyle w:val="Normal1"/>
        <w:spacing w:line="480" w:lineRule="auto"/>
        <w:ind w:firstLine="720"/>
        <w:rPr>
          <w:rFonts w:ascii="Times New Roman" w:eastAsia="Times New Roman" w:hAnsi="Times New Roman" w:cs="Times New Roman"/>
          <w:color w:val="auto"/>
          <w:sz w:val="24"/>
        </w:rPr>
      </w:pPr>
      <w:r>
        <w:rPr>
          <w:rFonts w:ascii="Times New Roman" w:hAnsi="Times New Roman"/>
          <w:sz w:val="24"/>
          <w:szCs w:val="24"/>
        </w:rPr>
        <w:t xml:space="preserve">We argue that an institutional logic perspective enriches explanations of social issue selling by revealing how social and commercial meanings can have different levels of compatibility (Besharov and Smith, 2014), even in contexts dominated by commercial objectives, as in for-profit organizations. Likewise, we suggest that the framing perspective in </w:t>
      </w:r>
      <w:r w:rsidRPr="00A2215E">
        <w:rPr>
          <w:rFonts w:ascii="Times New Roman" w:hAnsi="Times New Roman"/>
          <w:color w:val="auto"/>
          <w:sz w:val="24"/>
          <w:szCs w:val="24"/>
        </w:rPr>
        <w:t>social movements</w:t>
      </w:r>
      <w:r>
        <w:rPr>
          <w:rFonts w:ascii="Times New Roman" w:hAnsi="Times New Roman"/>
          <w:color w:val="auto"/>
          <w:sz w:val="24"/>
          <w:szCs w:val="24"/>
        </w:rPr>
        <w:t xml:space="preserve"> illuminates issue </w:t>
      </w:r>
      <w:r w:rsidRPr="00A2215E">
        <w:rPr>
          <w:rFonts w:ascii="Times New Roman" w:hAnsi="Times New Roman"/>
          <w:color w:val="auto"/>
          <w:sz w:val="24"/>
          <w:szCs w:val="24"/>
        </w:rPr>
        <w:t xml:space="preserve">selling as a process of intra-organizational mobilization (Scully and Segal, 2002), recasting selling as a conversation with targets </w:t>
      </w:r>
      <w:r w:rsidRPr="00A2215E">
        <w:rPr>
          <w:rFonts w:ascii="Times New Roman" w:eastAsia="Times New Roman" w:hAnsi="Times New Roman" w:cs="Times New Roman"/>
          <w:color w:val="auto"/>
          <w:sz w:val="24"/>
        </w:rPr>
        <w:t>(Cornelissen and Werner, 2014), and expanding the work of sellers to consider the craft of solutions.</w:t>
      </w:r>
      <w:r>
        <w:rPr>
          <w:rFonts w:ascii="Times New Roman" w:eastAsia="Times New Roman" w:hAnsi="Times New Roman" w:cs="Times New Roman"/>
          <w:color w:val="auto"/>
          <w:sz w:val="24"/>
        </w:rPr>
        <w:t xml:space="preserve"> Building on both perspectives, we </w:t>
      </w:r>
      <w:r>
        <w:rPr>
          <w:rFonts w:ascii="Times New Roman" w:eastAsia="Times New Roman" w:hAnsi="Times New Roman" w:cs="Times New Roman"/>
          <w:color w:val="auto"/>
          <w:sz w:val="24"/>
          <w:szCs w:val="24"/>
        </w:rPr>
        <w:t>offer</w:t>
      </w:r>
      <w:r w:rsidRPr="006B6E0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nuance</w:t>
      </w:r>
      <w:r w:rsidRPr="006B6E0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to the </w:t>
      </w:r>
      <w:r w:rsidRPr="006B6E07">
        <w:rPr>
          <w:rFonts w:ascii="Times New Roman" w:eastAsia="Times New Roman" w:hAnsi="Times New Roman" w:cs="Times New Roman"/>
          <w:color w:val="auto"/>
          <w:sz w:val="24"/>
          <w:szCs w:val="24"/>
        </w:rPr>
        <w:t xml:space="preserve">understanding of context and target signals </w:t>
      </w:r>
      <w:r>
        <w:rPr>
          <w:rFonts w:ascii="Times New Roman" w:eastAsia="Times New Roman" w:hAnsi="Times New Roman" w:cs="Times New Roman"/>
          <w:color w:val="auto"/>
          <w:sz w:val="24"/>
          <w:szCs w:val="24"/>
        </w:rPr>
        <w:t xml:space="preserve">in social issue selling, and suggest how successful selling can emerge from narratives that </w:t>
      </w:r>
      <w:r w:rsidRPr="00F07F8D">
        <w:rPr>
          <w:rFonts w:ascii="Times New Roman" w:hAnsi="Times New Roman" w:cs="Lucida Grande"/>
          <w:color w:val="auto"/>
          <w:sz w:val="24"/>
          <w:szCs w:val="24"/>
        </w:rPr>
        <w:t>ta</w:t>
      </w:r>
      <w:r>
        <w:rPr>
          <w:rFonts w:ascii="Times New Roman" w:hAnsi="Times New Roman" w:cs="Lucida Grande"/>
          <w:color w:val="auto"/>
          <w:sz w:val="24"/>
          <w:szCs w:val="24"/>
        </w:rPr>
        <w:t>p into broader discourses and targets’</w:t>
      </w:r>
      <w:r w:rsidRPr="00F07F8D">
        <w:rPr>
          <w:rFonts w:ascii="Times New Roman" w:hAnsi="Times New Roman" w:cs="Lucida Grande"/>
          <w:color w:val="auto"/>
          <w:sz w:val="24"/>
          <w:szCs w:val="24"/>
        </w:rPr>
        <w:t xml:space="preserve"> interests</w:t>
      </w:r>
      <w:r>
        <w:rPr>
          <w:rFonts w:ascii="Times New Roman" w:hAnsi="Times New Roman" w:cs="Lucida Grande"/>
          <w:color w:val="auto"/>
          <w:sz w:val="24"/>
          <w:szCs w:val="24"/>
        </w:rPr>
        <w:t xml:space="preserve"> </w:t>
      </w:r>
      <w:r w:rsidRPr="00F07F8D">
        <w:rPr>
          <w:rFonts w:ascii="Times New Roman" w:hAnsi="Times New Roman" w:cs="Lucida Grande"/>
          <w:color w:val="auto"/>
          <w:sz w:val="24"/>
          <w:szCs w:val="24"/>
        </w:rPr>
        <w:t>(Lefsrud and Jennings, 2014</w:t>
      </w:r>
      <w:r>
        <w:rPr>
          <w:rFonts w:ascii="Times New Roman" w:hAnsi="Times New Roman" w:cs="Lucida Grande"/>
          <w:color w:val="auto"/>
          <w:sz w:val="24"/>
          <w:szCs w:val="24"/>
        </w:rPr>
        <w:t xml:space="preserve">; Martens </w:t>
      </w:r>
      <w:r w:rsidRPr="002A2443">
        <w:rPr>
          <w:rFonts w:ascii="Times New Roman" w:hAnsi="Times New Roman" w:cs="Lucida Grande"/>
          <w:i/>
          <w:color w:val="auto"/>
          <w:sz w:val="24"/>
          <w:szCs w:val="24"/>
        </w:rPr>
        <w:t>et al.</w:t>
      </w:r>
      <w:r>
        <w:rPr>
          <w:rFonts w:ascii="Times New Roman" w:hAnsi="Times New Roman" w:cs="Lucida Grande"/>
          <w:color w:val="auto"/>
          <w:sz w:val="24"/>
          <w:szCs w:val="24"/>
        </w:rPr>
        <w:t>, 2007</w:t>
      </w:r>
      <w:r w:rsidRPr="00F07F8D">
        <w:rPr>
          <w:rFonts w:ascii="Times New Roman" w:hAnsi="Times New Roman" w:cs="Lucida Grande"/>
          <w:color w:val="auto"/>
          <w:sz w:val="24"/>
          <w:szCs w:val="24"/>
        </w:rPr>
        <w:t>)</w:t>
      </w:r>
      <w:r>
        <w:rPr>
          <w:rFonts w:ascii="Times New Roman" w:hAnsi="Times New Roman" w:cs="Lucida Grande"/>
          <w:color w:val="auto"/>
          <w:sz w:val="24"/>
          <w:szCs w:val="24"/>
        </w:rPr>
        <w:t>.</w:t>
      </w:r>
    </w:p>
    <w:p w:rsidR="00FF2A8D" w:rsidRPr="00B024F4" w:rsidRDefault="00FF2A8D" w:rsidP="00FF2A8D">
      <w:pPr>
        <w:pStyle w:val="Normal1"/>
        <w:spacing w:line="480" w:lineRule="auto"/>
        <w:ind w:firstLine="720"/>
        <w:rPr>
          <w:rFonts w:ascii="Times New Roman" w:eastAsia="Times New Roman" w:hAnsi="Times New Roman" w:cs="Times New Roman"/>
          <w:color w:val="auto"/>
          <w:sz w:val="24"/>
          <w:szCs w:val="24"/>
        </w:rPr>
      </w:pPr>
      <w:r w:rsidRPr="00B024F4">
        <w:rPr>
          <w:rFonts w:ascii="Times New Roman" w:eastAsia="Times New Roman" w:hAnsi="Times New Roman" w:cs="Times New Roman"/>
          <w:color w:val="auto"/>
          <w:sz w:val="24"/>
          <w:szCs w:val="24"/>
        </w:rPr>
        <w:t xml:space="preserve">We begin by reviewing how issues and solutions have been defined and sold in the literature, to show that more attention to solutions is necessary to improve our understanding of how sellers can craft successful social issue selling tactics. Next, we examine how the organizational context and selling targets have been shown to influence either the tactics of sellers or selling success, and discuss the limitations of current approaches. As an alternative, we offer that attention to the institutional logics enacted </w:t>
      </w:r>
      <w:r w:rsidRPr="00B024F4">
        <w:rPr>
          <w:rFonts w:ascii="Times New Roman" w:eastAsia="Times New Roman" w:hAnsi="Times New Roman" w:cs="Times New Roman"/>
          <w:i/>
          <w:color w:val="auto"/>
          <w:sz w:val="24"/>
          <w:szCs w:val="24"/>
        </w:rPr>
        <w:t>in</w:t>
      </w:r>
      <w:r w:rsidRPr="00B024F4">
        <w:rPr>
          <w:rFonts w:ascii="Times New Roman" w:eastAsia="Times New Roman" w:hAnsi="Times New Roman" w:cs="Times New Roman"/>
          <w:color w:val="auto"/>
          <w:sz w:val="24"/>
          <w:szCs w:val="24"/>
        </w:rPr>
        <w:t xml:space="preserve"> organizations and </w:t>
      </w:r>
      <w:r w:rsidRPr="00B024F4">
        <w:rPr>
          <w:rFonts w:ascii="Times New Roman" w:eastAsia="Times New Roman" w:hAnsi="Times New Roman" w:cs="Times New Roman"/>
          <w:i/>
          <w:color w:val="auto"/>
          <w:sz w:val="24"/>
          <w:szCs w:val="24"/>
        </w:rPr>
        <w:t>by</w:t>
      </w:r>
      <w:r w:rsidRPr="00B024F4">
        <w:rPr>
          <w:rFonts w:ascii="Times New Roman" w:eastAsia="Times New Roman" w:hAnsi="Times New Roman" w:cs="Times New Roman"/>
          <w:color w:val="auto"/>
          <w:sz w:val="24"/>
          <w:szCs w:val="24"/>
        </w:rPr>
        <w:t xml:space="preserve"> targets can enhance the knowledge of sellers and</w:t>
      </w:r>
      <w:r>
        <w:rPr>
          <w:rFonts w:ascii="Times New Roman" w:eastAsia="Times New Roman" w:hAnsi="Times New Roman" w:cs="Times New Roman"/>
          <w:color w:val="auto"/>
          <w:sz w:val="24"/>
          <w:szCs w:val="24"/>
        </w:rPr>
        <w:t>, consequently,</w:t>
      </w:r>
      <w:r w:rsidRPr="00B024F4">
        <w:rPr>
          <w:rFonts w:ascii="Times New Roman" w:eastAsia="Times New Roman" w:hAnsi="Times New Roman" w:cs="Times New Roman"/>
          <w:color w:val="auto"/>
          <w:sz w:val="24"/>
          <w:szCs w:val="24"/>
        </w:rPr>
        <w:t xml:space="preserve"> t</w:t>
      </w:r>
      <w:r>
        <w:rPr>
          <w:rFonts w:ascii="Times New Roman" w:eastAsia="Times New Roman" w:hAnsi="Times New Roman" w:cs="Times New Roman"/>
          <w:color w:val="auto"/>
          <w:sz w:val="24"/>
          <w:szCs w:val="24"/>
        </w:rPr>
        <w:t>heir tactical decisions. W</w:t>
      </w:r>
      <w:r w:rsidRPr="00B024F4">
        <w:rPr>
          <w:rFonts w:ascii="Times New Roman" w:eastAsia="Times New Roman" w:hAnsi="Times New Roman" w:cs="Times New Roman"/>
          <w:color w:val="auto"/>
          <w:sz w:val="24"/>
          <w:szCs w:val="24"/>
        </w:rPr>
        <w:t xml:space="preserve">e </w:t>
      </w:r>
      <w:r>
        <w:rPr>
          <w:rFonts w:ascii="Times New Roman" w:eastAsia="Times New Roman" w:hAnsi="Times New Roman" w:cs="Times New Roman"/>
          <w:color w:val="auto"/>
          <w:sz w:val="24"/>
          <w:szCs w:val="24"/>
        </w:rPr>
        <w:t xml:space="preserve">then </w:t>
      </w:r>
      <w:r w:rsidRPr="00B024F4">
        <w:rPr>
          <w:rFonts w:ascii="Times New Roman" w:eastAsia="Times New Roman" w:hAnsi="Times New Roman" w:cs="Times New Roman"/>
          <w:color w:val="auto"/>
          <w:sz w:val="24"/>
          <w:szCs w:val="24"/>
        </w:rPr>
        <w:t>explain how the framing perspective in social movements can enrich explanations of the work of social issue sellers, making the case for a more interactive view of the issue selling process.</w:t>
      </w:r>
      <w:r>
        <w:rPr>
          <w:rFonts w:ascii="Times New Roman" w:eastAsia="Times New Roman" w:hAnsi="Times New Roman" w:cs="Times New Roman"/>
          <w:color w:val="auto"/>
          <w:sz w:val="24"/>
          <w:szCs w:val="24"/>
        </w:rPr>
        <w:t xml:space="preserve"> We follow with a set of propositions that detail how social issue selling initiatives can be legitimated in for-profit organizations, and present a typology of four ideal selling approaches. We conclude with a discussion of the implications of our framework, along with an agenda for future research.</w:t>
      </w:r>
    </w:p>
    <w:p w:rsidR="00FF2A8D" w:rsidRPr="00AC12A6" w:rsidRDefault="00FF2A8D" w:rsidP="00FF2A8D">
      <w:pPr>
        <w:pStyle w:val="Normal1"/>
        <w:spacing w:line="480" w:lineRule="auto"/>
        <w:jc w:val="center"/>
        <w:rPr>
          <w:rFonts w:ascii="Times New Roman" w:eastAsia="Times New Roman" w:hAnsi="Times New Roman" w:cs="Times New Roman"/>
          <w:b/>
          <w:color w:val="auto"/>
          <w:sz w:val="24"/>
        </w:rPr>
      </w:pPr>
      <w:r w:rsidRPr="00AC12A6">
        <w:rPr>
          <w:rFonts w:ascii="Times New Roman" w:eastAsia="Times New Roman" w:hAnsi="Times New Roman" w:cs="Times New Roman"/>
          <w:b/>
          <w:color w:val="auto"/>
          <w:sz w:val="24"/>
        </w:rPr>
        <w:t>THE WORK OF ISSUE SELLERS</w:t>
      </w:r>
    </w:p>
    <w:p w:rsidR="00FF2A8D" w:rsidRPr="00E75558" w:rsidRDefault="00FF2A8D" w:rsidP="00FF2A8D">
      <w:pPr>
        <w:pStyle w:val="Normal1"/>
        <w:spacing w:line="480" w:lineRule="auto"/>
        <w:rPr>
          <w:rFonts w:ascii="Times New Roman" w:eastAsia="Times New Roman" w:hAnsi="Times New Roman" w:cs="Times New Roman"/>
          <w:b/>
          <w:color w:val="auto"/>
          <w:sz w:val="24"/>
          <w:szCs w:val="24"/>
        </w:rPr>
      </w:pPr>
      <w:r w:rsidRPr="00E75558">
        <w:rPr>
          <w:rFonts w:ascii="Times New Roman" w:eastAsia="Times New Roman" w:hAnsi="Times New Roman" w:cs="Times New Roman"/>
          <w:b/>
          <w:color w:val="auto"/>
          <w:sz w:val="24"/>
          <w:szCs w:val="24"/>
        </w:rPr>
        <w:t>Issues and solutions defined</w:t>
      </w:r>
    </w:p>
    <w:p w:rsidR="00FF2A8D" w:rsidRPr="00E75558" w:rsidRDefault="00FF2A8D" w:rsidP="00FF2A8D">
      <w:pPr>
        <w:pStyle w:val="Normal1"/>
        <w:spacing w:line="480" w:lineRule="auto"/>
        <w:ind w:firstLine="720"/>
        <w:rPr>
          <w:rFonts w:ascii="Times New Roman" w:hAnsi="Times New Roman"/>
          <w:sz w:val="24"/>
          <w:szCs w:val="26"/>
        </w:rPr>
      </w:pPr>
      <w:r w:rsidRPr="00E75558">
        <w:rPr>
          <w:rFonts w:ascii="Times New Roman" w:eastAsia="Times New Roman" w:hAnsi="Times New Roman" w:cs="Times New Roman"/>
          <w:color w:val="auto"/>
          <w:sz w:val="24"/>
          <w:szCs w:val="24"/>
        </w:rPr>
        <w:t xml:space="preserve">A key decision for issue sellers is whether to sell an issue alone or with a solution, which will likely depend on the type of issue </w:t>
      </w:r>
      <w:r>
        <w:rPr>
          <w:rFonts w:ascii="Times New Roman" w:eastAsia="Times New Roman" w:hAnsi="Times New Roman" w:cs="Times New Roman"/>
          <w:color w:val="auto"/>
          <w:sz w:val="24"/>
          <w:szCs w:val="24"/>
        </w:rPr>
        <w:t>in question</w:t>
      </w:r>
      <w:r w:rsidRPr="00E75558">
        <w:rPr>
          <w:rFonts w:ascii="Times New Roman" w:eastAsia="Times New Roman" w:hAnsi="Times New Roman" w:cs="Times New Roman"/>
          <w:color w:val="auto"/>
          <w:sz w:val="24"/>
          <w:szCs w:val="24"/>
        </w:rPr>
        <w:t xml:space="preserve"> (Dutton and Ashford, 1993). </w:t>
      </w:r>
      <w:r>
        <w:rPr>
          <w:rFonts w:ascii="Times New Roman" w:eastAsia="Times New Roman" w:hAnsi="Times New Roman" w:cs="Times New Roman"/>
          <w:color w:val="auto"/>
          <w:sz w:val="24"/>
          <w:szCs w:val="24"/>
        </w:rPr>
        <w:t>As such</w:t>
      </w:r>
      <w:r w:rsidRPr="00E75558">
        <w:rPr>
          <w:rFonts w:ascii="Times New Roman" w:eastAsia="Times New Roman" w:hAnsi="Times New Roman" w:cs="Times New Roman"/>
          <w:color w:val="auto"/>
          <w:sz w:val="24"/>
          <w:szCs w:val="24"/>
        </w:rPr>
        <w:t>, it is important to examine how issues in general, and social issues specifically, have been defined in the literature. Traditionally, issue selling researchers (</w:t>
      </w:r>
      <w:r w:rsidRPr="00E75558">
        <w:rPr>
          <w:rFonts w:ascii="Times New Roman" w:hAnsi="Times New Roman"/>
          <w:sz w:val="24"/>
          <w:szCs w:val="26"/>
        </w:rPr>
        <w:t>e.g., Bansal, 2003; Dutton and Ashford, 1993) have adopted Ansoff’s definition of strategic issue as “a forthcoming development, either inside or outside of the organization, which is likely to have an important impact on the ability of the enterprise to meet its objectives” (1980, p. 133). In contrast, social issues serve society’s interests and improve social welfare (Sonenshein, 2006), carrying “important implications for social change” (Sonenshein, 2012, p. 4), which “can benefit the greater good beyond wealth maximization, such as healthcare, poverty, or the natural environment” (Sonenshein, 2014, p. 3).</w:t>
      </w:r>
    </w:p>
    <w:p w:rsidR="00FF2A8D" w:rsidRPr="00E75558" w:rsidRDefault="00FF2A8D" w:rsidP="00FF2A8D">
      <w:pPr>
        <w:pStyle w:val="Normal1"/>
        <w:spacing w:line="480" w:lineRule="auto"/>
        <w:ind w:firstLine="720"/>
        <w:rPr>
          <w:rFonts w:ascii="Times New Roman" w:hAnsi="Times New Roman"/>
          <w:sz w:val="24"/>
        </w:rPr>
      </w:pPr>
      <w:r w:rsidRPr="00E75558">
        <w:rPr>
          <w:rFonts w:ascii="Times New Roman" w:hAnsi="Times New Roman"/>
          <w:sz w:val="24"/>
          <w:szCs w:val="26"/>
        </w:rPr>
        <w:t xml:space="preserve">By </w:t>
      </w:r>
      <w:r>
        <w:rPr>
          <w:rFonts w:ascii="Times New Roman" w:hAnsi="Times New Roman"/>
          <w:sz w:val="24"/>
          <w:szCs w:val="26"/>
        </w:rPr>
        <w:t>juxtaposing</w:t>
      </w:r>
      <w:r w:rsidRPr="00E75558">
        <w:rPr>
          <w:rFonts w:ascii="Times New Roman" w:hAnsi="Times New Roman"/>
          <w:sz w:val="24"/>
          <w:szCs w:val="26"/>
        </w:rPr>
        <w:t xml:space="preserve"> the </w:t>
      </w:r>
      <w:r w:rsidR="008A6FF7" w:rsidRPr="00E75558">
        <w:rPr>
          <w:rFonts w:ascii="Times New Roman" w:hAnsi="Times New Roman"/>
          <w:sz w:val="24"/>
          <w:szCs w:val="26"/>
        </w:rPr>
        <w:t>above</w:t>
      </w:r>
      <w:r w:rsidR="008A6FF7">
        <w:rPr>
          <w:rFonts w:ascii="Times New Roman" w:hAnsi="Times New Roman"/>
          <w:sz w:val="24"/>
          <w:szCs w:val="26"/>
        </w:rPr>
        <w:t xml:space="preserve"> </w:t>
      </w:r>
      <w:r w:rsidRPr="00E75558">
        <w:rPr>
          <w:rFonts w:ascii="Times New Roman" w:hAnsi="Times New Roman"/>
          <w:sz w:val="24"/>
          <w:szCs w:val="26"/>
        </w:rPr>
        <w:t xml:space="preserve">definitions, we can observe that a social issue will not always have direct impact on the firm’s ability to meet its objectives. If we conceive social issues as stakeholder issues, as claimed by stakeholders themselves or internal social change agents (Sonenshein, 2014), such issues can either affect or be affected by the firm (Bundy </w:t>
      </w:r>
      <w:r w:rsidRPr="002A2443">
        <w:rPr>
          <w:rFonts w:ascii="Times New Roman" w:hAnsi="Times New Roman"/>
          <w:i/>
          <w:sz w:val="24"/>
          <w:szCs w:val="26"/>
        </w:rPr>
        <w:t>et al.</w:t>
      </w:r>
      <w:r w:rsidRPr="00E75558">
        <w:rPr>
          <w:rFonts w:ascii="Times New Roman" w:hAnsi="Times New Roman"/>
          <w:sz w:val="24"/>
          <w:szCs w:val="26"/>
        </w:rPr>
        <w:t xml:space="preserve">, 2013; Freeman, 1984). </w:t>
      </w:r>
      <w:r>
        <w:rPr>
          <w:rFonts w:ascii="Times New Roman" w:hAnsi="Times New Roman"/>
          <w:sz w:val="24"/>
          <w:szCs w:val="26"/>
        </w:rPr>
        <w:t>Stated</w:t>
      </w:r>
      <w:r w:rsidRPr="00E75558">
        <w:rPr>
          <w:rFonts w:ascii="Times New Roman" w:hAnsi="Times New Roman"/>
          <w:sz w:val="24"/>
          <w:szCs w:val="26"/>
        </w:rPr>
        <w:t xml:space="preserve"> differently, social issues may become relevant for organizations either </w:t>
      </w:r>
      <w:r>
        <w:rPr>
          <w:rFonts w:ascii="Times New Roman" w:hAnsi="Times New Roman"/>
          <w:sz w:val="24"/>
          <w:szCs w:val="26"/>
        </w:rPr>
        <w:t xml:space="preserve">(1) </w:t>
      </w:r>
      <w:r w:rsidRPr="00E75558">
        <w:rPr>
          <w:rFonts w:ascii="Times New Roman" w:hAnsi="Times New Roman"/>
          <w:sz w:val="24"/>
          <w:szCs w:val="26"/>
        </w:rPr>
        <w:t xml:space="preserve">because they impact firms’ objectives, or </w:t>
      </w:r>
      <w:r>
        <w:rPr>
          <w:rFonts w:ascii="Times New Roman" w:hAnsi="Times New Roman"/>
          <w:sz w:val="24"/>
          <w:szCs w:val="26"/>
        </w:rPr>
        <w:t>(</w:t>
      </w:r>
      <w:r w:rsidRPr="00E75558">
        <w:rPr>
          <w:rFonts w:ascii="Times New Roman" w:hAnsi="Times New Roman"/>
          <w:sz w:val="24"/>
          <w:szCs w:val="26"/>
        </w:rPr>
        <w:t xml:space="preserve">2) because firms can help in resolving such issues. These two factors, as we will argue below, highlight the importance of selling social issues with solutions, or social innovations. A social innovation can be formally defined as “the generation and implementation of new social service ideas for solving social problems manifested at either the product or process level or the social system level” (Weerawardena and Mort, 2012, p. 93). We </w:t>
      </w:r>
      <w:r>
        <w:rPr>
          <w:rFonts w:ascii="Times New Roman" w:hAnsi="Times New Roman"/>
          <w:sz w:val="24"/>
          <w:szCs w:val="26"/>
        </w:rPr>
        <w:t>pro</w:t>
      </w:r>
      <w:r w:rsidRPr="00E75558">
        <w:rPr>
          <w:rFonts w:ascii="Times New Roman" w:hAnsi="Times New Roman"/>
          <w:sz w:val="24"/>
          <w:szCs w:val="26"/>
        </w:rPr>
        <w:t xml:space="preserve">pose that when internal change agents sell </w:t>
      </w:r>
      <w:r w:rsidRPr="00E75558">
        <w:rPr>
          <w:rFonts w:ascii="Times New Roman" w:hAnsi="Times New Roman"/>
          <w:i/>
          <w:sz w:val="24"/>
          <w:szCs w:val="26"/>
        </w:rPr>
        <w:t>social issues with solutions</w:t>
      </w:r>
      <w:r w:rsidRPr="00E75558">
        <w:rPr>
          <w:rFonts w:ascii="Times New Roman" w:hAnsi="Times New Roman"/>
          <w:sz w:val="24"/>
          <w:szCs w:val="26"/>
        </w:rPr>
        <w:t xml:space="preserve">, they are selling </w:t>
      </w:r>
      <w:r w:rsidRPr="00E75558">
        <w:rPr>
          <w:rFonts w:ascii="Times New Roman" w:hAnsi="Times New Roman"/>
          <w:i/>
          <w:sz w:val="24"/>
          <w:szCs w:val="26"/>
        </w:rPr>
        <w:t>social innovations</w:t>
      </w:r>
      <w:r w:rsidRPr="00E75558">
        <w:rPr>
          <w:rFonts w:ascii="Times New Roman" w:hAnsi="Times New Roman"/>
          <w:sz w:val="24"/>
          <w:szCs w:val="26"/>
        </w:rPr>
        <w:t xml:space="preserve">, and for the purpose of this paper we use both terms interchangeably. In this context, selling initiatives can be understood as new plans to act (De Clercq </w:t>
      </w:r>
      <w:r w:rsidRPr="002A2443">
        <w:rPr>
          <w:rFonts w:ascii="Times New Roman" w:hAnsi="Times New Roman"/>
          <w:i/>
          <w:sz w:val="24"/>
          <w:szCs w:val="26"/>
        </w:rPr>
        <w:t>et al.</w:t>
      </w:r>
      <w:r w:rsidRPr="00E75558">
        <w:rPr>
          <w:rFonts w:ascii="Times New Roman" w:hAnsi="Times New Roman"/>
          <w:sz w:val="24"/>
          <w:szCs w:val="26"/>
        </w:rPr>
        <w:t>, 2011) and help solve a social issue.</w:t>
      </w:r>
    </w:p>
    <w:p w:rsidR="00FF2A8D" w:rsidRPr="00E75558" w:rsidRDefault="00FF2A8D" w:rsidP="00FF2A8D">
      <w:pPr>
        <w:pStyle w:val="Normal1"/>
        <w:spacing w:line="480" w:lineRule="auto"/>
        <w:rPr>
          <w:rFonts w:ascii="Times New Roman" w:hAnsi="Times New Roman"/>
          <w:b/>
          <w:sz w:val="24"/>
        </w:rPr>
      </w:pPr>
      <w:r w:rsidRPr="00E75558">
        <w:rPr>
          <w:rFonts w:ascii="Times New Roman" w:hAnsi="Times New Roman"/>
          <w:b/>
          <w:sz w:val="24"/>
        </w:rPr>
        <w:t>Selling issues vs. issues with solutions</w:t>
      </w:r>
    </w:p>
    <w:p w:rsidR="00FF2A8D" w:rsidRPr="00E75558" w:rsidRDefault="00FF2A8D" w:rsidP="00FF2A8D">
      <w:pPr>
        <w:pStyle w:val="Normal1"/>
        <w:spacing w:line="480" w:lineRule="auto"/>
        <w:ind w:firstLine="720"/>
        <w:rPr>
          <w:rFonts w:ascii="Times New Roman" w:hAnsi="Times New Roman"/>
          <w:sz w:val="24"/>
        </w:rPr>
      </w:pPr>
      <w:r w:rsidRPr="00E75558">
        <w:rPr>
          <w:rFonts w:ascii="Times New Roman" w:hAnsi="Times New Roman"/>
          <w:sz w:val="24"/>
        </w:rPr>
        <w:t>In their seminal work, Dutton and Ashford (1993) proposed that individuals are more likely to initiate issue selling when they can identify a solution to attach to the issue. Yet the authors distinguished issue selling from project and innovation championing (Burgelman, 1983; Howell and Higgins, 1990) on the basis that championing involves advancing concrete solutions, whereas selling involves abstract issues. This distinction, however, has not always been made in subsequent empirical studies of issue selling.</w:t>
      </w:r>
    </w:p>
    <w:p w:rsidR="00FF2A8D" w:rsidRPr="00E75558" w:rsidRDefault="00FF2A8D" w:rsidP="00FF2A8D">
      <w:pPr>
        <w:pStyle w:val="Normal1"/>
        <w:spacing w:line="480" w:lineRule="auto"/>
        <w:ind w:firstLine="720"/>
        <w:rPr>
          <w:rFonts w:ascii="Times New Roman" w:hAnsi="Times New Roman"/>
          <w:sz w:val="24"/>
        </w:rPr>
      </w:pPr>
      <w:r w:rsidRPr="00E75558">
        <w:rPr>
          <w:rFonts w:ascii="Times New Roman" w:hAnsi="Times New Roman"/>
          <w:sz w:val="24"/>
        </w:rPr>
        <w:t xml:space="preserve">For example, studies of individuals selling environmental issues in multiple industries have shown that issues were sold with solutions (Andersson and Bateman, 2000; Bansal, 2003; Howard-Grenville, 2007). In another example, Pandza (2011) showed how groups of sellers focused on potential solutions when selling operational excellence issues in a pharmaceutical company. Other studies have found a mix of preferences </w:t>
      </w:r>
      <w:r>
        <w:rPr>
          <w:rFonts w:ascii="Times New Roman" w:hAnsi="Times New Roman"/>
          <w:sz w:val="24"/>
        </w:rPr>
        <w:t xml:space="preserve">among </w:t>
      </w:r>
      <w:r w:rsidRPr="00E75558">
        <w:rPr>
          <w:rFonts w:ascii="Times New Roman" w:hAnsi="Times New Roman"/>
          <w:sz w:val="24"/>
        </w:rPr>
        <w:t xml:space="preserve">individuals for selling issues with </w:t>
      </w:r>
      <w:r>
        <w:rPr>
          <w:rFonts w:ascii="Times New Roman" w:hAnsi="Times New Roman"/>
          <w:sz w:val="24"/>
        </w:rPr>
        <w:t>or</w:t>
      </w:r>
      <w:r w:rsidRPr="00E75558">
        <w:rPr>
          <w:rFonts w:ascii="Times New Roman" w:hAnsi="Times New Roman"/>
          <w:sz w:val="24"/>
        </w:rPr>
        <w:t xml:space="preserve"> without solutions, in both a telecommunications company and a not-for-profit hospital (Dutton </w:t>
      </w:r>
      <w:r w:rsidRPr="002A2443">
        <w:rPr>
          <w:rFonts w:ascii="Times New Roman" w:hAnsi="Times New Roman"/>
          <w:i/>
          <w:sz w:val="24"/>
        </w:rPr>
        <w:t>et al.</w:t>
      </w:r>
      <w:r w:rsidRPr="00E75558">
        <w:rPr>
          <w:rFonts w:ascii="Times New Roman" w:hAnsi="Times New Roman"/>
          <w:sz w:val="24"/>
        </w:rPr>
        <w:t xml:space="preserve">, 1997; Dutton </w:t>
      </w:r>
      <w:r w:rsidRPr="002A2443">
        <w:rPr>
          <w:rFonts w:ascii="Times New Roman" w:hAnsi="Times New Roman"/>
          <w:i/>
          <w:sz w:val="24"/>
        </w:rPr>
        <w:t>et al.</w:t>
      </w:r>
      <w:r w:rsidRPr="00E75558">
        <w:rPr>
          <w:rFonts w:ascii="Times New Roman" w:hAnsi="Times New Roman"/>
          <w:sz w:val="24"/>
        </w:rPr>
        <w:t xml:space="preserve">, 2001). In contrast, studies examining gender-equity issues with samples of working women in multiple organizations (Ashford </w:t>
      </w:r>
      <w:r w:rsidRPr="002A2443">
        <w:rPr>
          <w:rFonts w:ascii="Times New Roman" w:hAnsi="Times New Roman"/>
          <w:i/>
          <w:sz w:val="24"/>
        </w:rPr>
        <w:t>et al.</w:t>
      </w:r>
      <w:r w:rsidRPr="00E75558">
        <w:rPr>
          <w:rFonts w:ascii="Times New Roman" w:hAnsi="Times New Roman"/>
          <w:sz w:val="24"/>
        </w:rPr>
        <w:t xml:space="preserve">, 1998; Dutton </w:t>
      </w:r>
      <w:r w:rsidRPr="002A2443">
        <w:rPr>
          <w:rFonts w:ascii="Times New Roman" w:hAnsi="Times New Roman"/>
          <w:i/>
          <w:sz w:val="24"/>
        </w:rPr>
        <w:t>et al.</w:t>
      </w:r>
      <w:r w:rsidRPr="00E75558">
        <w:rPr>
          <w:rFonts w:ascii="Times New Roman" w:hAnsi="Times New Roman"/>
          <w:sz w:val="24"/>
        </w:rPr>
        <w:t xml:space="preserve">, 2002; Piderit and Ashford, 2003) </w:t>
      </w:r>
      <w:r>
        <w:rPr>
          <w:rFonts w:ascii="Times New Roman" w:hAnsi="Times New Roman"/>
          <w:sz w:val="24"/>
        </w:rPr>
        <w:t>make</w:t>
      </w:r>
      <w:r w:rsidRPr="00E75558">
        <w:rPr>
          <w:rFonts w:ascii="Times New Roman" w:hAnsi="Times New Roman"/>
          <w:sz w:val="24"/>
        </w:rPr>
        <w:t xml:space="preserve"> no mention of solutions. However, it is not possible to establish whether solutions were not addressed due to </w:t>
      </w:r>
      <w:r>
        <w:rPr>
          <w:rFonts w:ascii="Times New Roman" w:hAnsi="Times New Roman"/>
          <w:sz w:val="24"/>
        </w:rPr>
        <w:t>participants’</w:t>
      </w:r>
      <w:r w:rsidRPr="00E75558">
        <w:rPr>
          <w:rFonts w:ascii="Times New Roman" w:hAnsi="Times New Roman"/>
          <w:sz w:val="24"/>
        </w:rPr>
        <w:t xml:space="preserve"> preferences </w:t>
      </w:r>
      <w:r>
        <w:rPr>
          <w:rFonts w:ascii="Times New Roman" w:hAnsi="Times New Roman"/>
          <w:sz w:val="24"/>
        </w:rPr>
        <w:t>or</w:t>
      </w:r>
      <w:r w:rsidRPr="00E75558">
        <w:rPr>
          <w:rFonts w:ascii="Times New Roman" w:hAnsi="Times New Roman"/>
          <w:sz w:val="24"/>
        </w:rPr>
        <w:t xml:space="preserve"> to study design, which in these cases relied on generic case descriptions of issues, and examined individuals</w:t>
      </w:r>
      <w:r>
        <w:rPr>
          <w:rFonts w:ascii="Times New Roman" w:hAnsi="Times New Roman"/>
          <w:sz w:val="24"/>
        </w:rPr>
        <w:t>’</w:t>
      </w:r>
      <w:r w:rsidRPr="00E75558">
        <w:rPr>
          <w:rFonts w:ascii="Times New Roman" w:hAnsi="Times New Roman"/>
          <w:sz w:val="24"/>
        </w:rPr>
        <w:t xml:space="preserve"> willingness to sell issues (Ashford </w:t>
      </w:r>
      <w:r w:rsidRPr="002A2443">
        <w:rPr>
          <w:rFonts w:ascii="Times New Roman" w:hAnsi="Times New Roman"/>
          <w:i/>
          <w:sz w:val="24"/>
        </w:rPr>
        <w:t>et al.</w:t>
      </w:r>
      <w:r w:rsidRPr="00E75558">
        <w:rPr>
          <w:rFonts w:ascii="Times New Roman" w:hAnsi="Times New Roman"/>
          <w:sz w:val="24"/>
        </w:rPr>
        <w:t xml:space="preserve"> 1998; Dutton </w:t>
      </w:r>
      <w:r w:rsidRPr="002A2443">
        <w:rPr>
          <w:rFonts w:ascii="Times New Roman" w:hAnsi="Times New Roman"/>
          <w:i/>
          <w:sz w:val="24"/>
        </w:rPr>
        <w:t>et al.</w:t>
      </w:r>
      <w:r w:rsidRPr="00E75558">
        <w:rPr>
          <w:rFonts w:ascii="Times New Roman" w:hAnsi="Times New Roman"/>
          <w:sz w:val="24"/>
        </w:rPr>
        <w:t xml:space="preserve"> 2002), or clusters of upward influence tactics (Piderit and Ashford, 2003).</w:t>
      </w:r>
    </w:p>
    <w:p w:rsidR="00FF2A8D" w:rsidRPr="00E75558" w:rsidRDefault="00FF2A8D" w:rsidP="00FF2A8D">
      <w:pPr>
        <w:pStyle w:val="Normal1"/>
        <w:spacing w:line="480" w:lineRule="auto"/>
        <w:ind w:firstLine="720"/>
        <w:rPr>
          <w:rFonts w:ascii="Times New Roman" w:hAnsi="Times New Roman"/>
          <w:color w:val="auto"/>
          <w:sz w:val="24"/>
        </w:rPr>
      </w:pPr>
      <w:r w:rsidRPr="00E75558">
        <w:rPr>
          <w:rFonts w:ascii="Times New Roman" w:hAnsi="Times New Roman"/>
          <w:sz w:val="24"/>
        </w:rPr>
        <w:t>Overall</w:t>
      </w:r>
      <w:r>
        <w:rPr>
          <w:rFonts w:ascii="Times New Roman" w:hAnsi="Times New Roman"/>
          <w:sz w:val="24"/>
        </w:rPr>
        <w:t>,</w:t>
      </w:r>
      <w:r w:rsidRPr="00E75558">
        <w:rPr>
          <w:rFonts w:ascii="Times New Roman" w:hAnsi="Times New Roman"/>
          <w:sz w:val="24"/>
        </w:rPr>
        <w:t xml:space="preserve"> this literature, though not vast, shows that individuals tend to prefer selling issues with solutions. Dutton </w:t>
      </w:r>
      <w:r w:rsidRPr="002A2443">
        <w:rPr>
          <w:rFonts w:ascii="Times New Roman" w:hAnsi="Times New Roman"/>
          <w:i/>
          <w:sz w:val="24"/>
        </w:rPr>
        <w:t>et al.</w:t>
      </w:r>
      <w:r w:rsidRPr="00E75558">
        <w:rPr>
          <w:rFonts w:ascii="Times New Roman" w:hAnsi="Times New Roman"/>
          <w:sz w:val="24"/>
        </w:rPr>
        <w:t xml:space="preserve">’s (1997) study illustrates this preference, as selling issues with solutions was an important part of </w:t>
      </w:r>
      <w:r>
        <w:rPr>
          <w:rFonts w:ascii="Times New Roman" w:hAnsi="Times New Roman"/>
          <w:sz w:val="24"/>
        </w:rPr>
        <w:t>sellers’</w:t>
      </w:r>
      <w:r w:rsidRPr="00E75558">
        <w:rPr>
          <w:rFonts w:ascii="Times New Roman" w:hAnsi="Times New Roman"/>
          <w:sz w:val="24"/>
        </w:rPr>
        <w:t xml:space="preserve"> </w:t>
      </w:r>
      <w:r w:rsidR="00F0124D">
        <w:rPr>
          <w:rFonts w:ascii="Times New Roman" w:hAnsi="Times New Roman"/>
          <w:sz w:val="24"/>
        </w:rPr>
        <w:t xml:space="preserve">recipe for </w:t>
      </w:r>
      <w:r w:rsidRPr="00E75558">
        <w:rPr>
          <w:rFonts w:ascii="Times New Roman" w:hAnsi="Times New Roman"/>
          <w:sz w:val="24"/>
        </w:rPr>
        <w:t xml:space="preserve">success at a telecommunications company. A cautionary note, however, comes from Howard-Grenville’s (2007) study of issue sellers at Chipco, a microprocessor manufacturer: </w:t>
      </w:r>
      <w:r w:rsidR="00B209B8">
        <w:rPr>
          <w:rFonts w:ascii="Times New Roman" w:hAnsi="Times New Roman"/>
          <w:sz w:val="24"/>
        </w:rPr>
        <w:t>i</w:t>
      </w:r>
      <w:r w:rsidRPr="00E75558">
        <w:rPr>
          <w:rFonts w:ascii="Times New Roman" w:hAnsi="Times New Roman"/>
          <w:color w:val="auto"/>
          <w:sz w:val="24"/>
        </w:rPr>
        <w:t xml:space="preserve">f targets do not see a problem, there is little value in advancing a solution. Selling moves, she argues, should demonstrate how sellers and targets depend on </w:t>
      </w:r>
      <w:r>
        <w:rPr>
          <w:rFonts w:ascii="Times New Roman" w:hAnsi="Times New Roman"/>
          <w:color w:val="auto"/>
          <w:sz w:val="24"/>
        </w:rPr>
        <w:t>one another</w:t>
      </w:r>
      <w:r w:rsidRPr="00E75558">
        <w:rPr>
          <w:rFonts w:ascii="Times New Roman" w:hAnsi="Times New Roman"/>
          <w:color w:val="auto"/>
          <w:sz w:val="24"/>
        </w:rPr>
        <w:t xml:space="preserve"> to solve problems.</w:t>
      </w:r>
    </w:p>
    <w:p w:rsidR="00FF2A8D" w:rsidRPr="00E75558" w:rsidRDefault="00FF2A8D" w:rsidP="00FF2A8D">
      <w:pPr>
        <w:pStyle w:val="Normal1"/>
        <w:spacing w:line="480" w:lineRule="auto"/>
        <w:ind w:firstLine="720"/>
        <w:rPr>
          <w:rFonts w:ascii="Times New Roman" w:hAnsi="Times New Roman"/>
          <w:color w:val="auto"/>
          <w:sz w:val="24"/>
        </w:rPr>
      </w:pPr>
      <w:r w:rsidRPr="00E75558">
        <w:rPr>
          <w:rFonts w:ascii="Times New Roman" w:hAnsi="Times New Roman"/>
          <w:color w:val="auto"/>
          <w:sz w:val="24"/>
        </w:rPr>
        <w:t xml:space="preserve">Yet we suggest that a different </w:t>
      </w:r>
      <w:r>
        <w:rPr>
          <w:rFonts w:ascii="Times New Roman" w:hAnsi="Times New Roman"/>
          <w:color w:val="auto"/>
          <w:sz w:val="24"/>
        </w:rPr>
        <w:t>dimension</w:t>
      </w:r>
      <w:r w:rsidRPr="00E75558">
        <w:rPr>
          <w:rFonts w:ascii="Times New Roman" w:hAnsi="Times New Roman"/>
          <w:color w:val="auto"/>
          <w:sz w:val="24"/>
        </w:rPr>
        <w:t xml:space="preserve"> of this argument reveals how solutions may in fact help shape conversations around problems or issues. At the heart of Howard-Grenville’s (2007) observation is the idea that what constitutes a problem for society may </w:t>
      </w:r>
      <w:r>
        <w:rPr>
          <w:rFonts w:ascii="Times New Roman" w:hAnsi="Times New Roman"/>
          <w:color w:val="auto"/>
          <w:sz w:val="24"/>
        </w:rPr>
        <w:t>not necessarily</w:t>
      </w:r>
      <w:r w:rsidRPr="00E75558">
        <w:rPr>
          <w:rFonts w:ascii="Times New Roman" w:hAnsi="Times New Roman"/>
          <w:color w:val="auto"/>
          <w:sz w:val="24"/>
        </w:rPr>
        <w:t xml:space="preserve"> represent a problem for an organization. Specifically, she </w:t>
      </w:r>
      <w:r>
        <w:rPr>
          <w:rFonts w:ascii="Times New Roman" w:hAnsi="Times New Roman"/>
          <w:color w:val="auto"/>
          <w:sz w:val="24"/>
        </w:rPr>
        <w:t>calls</w:t>
      </w:r>
      <w:r w:rsidRPr="00E75558">
        <w:rPr>
          <w:rFonts w:ascii="Times New Roman" w:hAnsi="Times New Roman"/>
          <w:color w:val="auto"/>
          <w:sz w:val="24"/>
        </w:rPr>
        <w:t xml:space="preserve"> attention to the goals </w:t>
      </w:r>
      <w:r>
        <w:rPr>
          <w:rFonts w:ascii="Times New Roman" w:hAnsi="Times New Roman"/>
          <w:color w:val="auto"/>
          <w:sz w:val="24"/>
        </w:rPr>
        <w:t>met by</w:t>
      </w:r>
      <w:r w:rsidRPr="00E75558">
        <w:rPr>
          <w:rFonts w:ascii="Times New Roman" w:hAnsi="Times New Roman"/>
          <w:color w:val="auto"/>
          <w:sz w:val="24"/>
        </w:rPr>
        <w:t xml:space="preserve"> solutions advanced by sellers. In her study, sellers of environmental issues were successful to the extent that they proposed solutions with clear commercial and technical goals. Bansal (2003) </w:t>
      </w:r>
      <w:r>
        <w:rPr>
          <w:rFonts w:ascii="Times New Roman" w:hAnsi="Times New Roman"/>
          <w:color w:val="auto"/>
          <w:sz w:val="24"/>
        </w:rPr>
        <w:t xml:space="preserve">identified a similar pattern in a </w:t>
      </w:r>
      <w:r w:rsidRPr="00E75558">
        <w:rPr>
          <w:rFonts w:ascii="Times New Roman" w:hAnsi="Times New Roman"/>
          <w:color w:val="auto"/>
          <w:sz w:val="24"/>
        </w:rPr>
        <w:t>study of environmental issue selling in two manufacturing companies. In both organizations, sellers were successful in advancing many environmental issues, except those with solutions that were not deemed economically viable.</w:t>
      </w:r>
    </w:p>
    <w:p w:rsidR="00FF2A8D" w:rsidRPr="00E75558" w:rsidRDefault="00FF2A8D" w:rsidP="00FF2A8D">
      <w:pPr>
        <w:pStyle w:val="Normal1"/>
        <w:spacing w:line="480" w:lineRule="auto"/>
        <w:ind w:firstLine="720"/>
        <w:rPr>
          <w:rFonts w:ascii="Times New Roman" w:hAnsi="Times New Roman"/>
          <w:color w:val="auto"/>
          <w:sz w:val="24"/>
        </w:rPr>
      </w:pPr>
      <w:r w:rsidRPr="00E75558">
        <w:rPr>
          <w:rFonts w:ascii="Times New Roman" w:hAnsi="Times New Roman"/>
          <w:color w:val="auto"/>
          <w:sz w:val="24"/>
        </w:rPr>
        <w:t xml:space="preserve">Building on these findings, we argue that theorizing on how solutions link to context is an important avenue for enhancing our understanding of successful issue selling. Social problem theory suggests that “solutions produce problems by providing the framework within which those problems can be stated” (Spector and Kitsuse, 1987, p. 84). This notion, </w:t>
      </w:r>
      <w:r w:rsidRPr="00E75558">
        <w:rPr>
          <w:rFonts w:ascii="Times New Roman" w:hAnsi="Times New Roman"/>
          <w:sz w:val="24"/>
        </w:rPr>
        <w:t xml:space="preserve">though encapsulated in </w:t>
      </w:r>
      <w:r w:rsidRPr="00E75558">
        <w:rPr>
          <w:rFonts w:ascii="Times New Roman" w:hAnsi="Times New Roman"/>
          <w:color w:val="auto"/>
          <w:sz w:val="24"/>
        </w:rPr>
        <w:t>the original issue selling framework (Dutton and Ashford, 1993), has received little attention in subsequent studies. Most studies seem to conflate issues with solutions, overlooking both how sellers shape solutions in light of their contexts, and how solutions enable selling success.</w:t>
      </w:r>
    </w:p>
    <w:p w:rsidR="00FF2A8D" w:rsidRPr="00E75558" w:rsidRDefault="00FF2A8D" w:rsidP="00FF2A8D">
      <w:pPr>
        <w:pStyle w:val="Normal1"/>
        <w:spacing w:line="480" w:lineRule="auto"/>
        <w:ind w:firstLine="720"/>
        <w:rPr>
          <w:rFonts w:ascii="Times New Roman" w:hAnsi="Times New Roman"/>
          <w:color w:val="auto"/>
          <w:sz w:val="24"/>
        </w:rPr>
      </w:pPr>
      <w:r w:rsidRPr="00E75558">
        <w:rPr>
          <w:rFonts w:ascii="Times New Roman" w:hAnsi="Times New Roman"/>
          <w:color w:val="auto"/>
          <w:sz w:val="24"/>
        </w:rPr>
        <w:t xml:space="preserve">As we will argue, if solutions are to be part of a recipe for issue selling success (Dutton </w:t>
      </w:r>
      <w:r w:rsidRPr="002A2443">
        <w:rPr>
          <w:rFonts w:ascii="Times New Roman" w:hAnsi="Times New Roman"/>
          <w:i/>
          <w:color w:val="auto"/>
          <w:sz w:val="24"/>
        </w:rPr>
        <w:t>et al.</w:t>
      </w:r>
      <w:r w:rsidRPr="00E75558">
        <w:rPr>
          <w:rFonts w:ascii="Times New Roman" w:hAnsi="Times New Roman"/>
          <w:color w:val="auto"/>
          <w:sz w:val="24"/>
        </w:rPr>
        <w:t>, 1997), these solutions should connect to the meaning systems of organizations and targets. Such solutions need not be assertive (Howard-Grenville, 2007)</w:t>
      </w:r>
      <w:r>
        <w:rPr>
          <w:rFonts w:ascii="Times New Roman" w:hAnsi="Times New Roman"/>
          <w:color w:val="auto"/>
          <w:sz w:val="24"/>
        </w:rPr>
        <w:t>, nor</w:t>
      </w:r>
      <w:r w:rsidRPr="00E75558">
        <w:rPr>
          <w:rFonts w:ascii="Times New Roman" w:hAnsi="Times New Roman"/>
          <w:color w:val="auto"/>
          <w:sz w:val="24"/>
        </w:rPr>
        <w:t xml:space="preserve"> definitive. Crafting a </w:t>
      </w:r>
      <w:r w:rsidRPr="00E75558">
        <w:rPr>
          <w:rFonts w:ascii="Times New Roman" w:hAnsi="Times New Roman"/>
          <w:i/>
          <w:color w:val="auto"/>
          <w:sz w:val="24"/>
        </w:rPr>
        <w:t xml:space="preserve">tentative </w:t>
      </w:r>
      <w:r w:rsidRPr="00E75558">
        <w:rPr>
          <w:rFonts w:ascii="Times New Roman" w:hAnsi="Times New Roman"/>
          <w:color w:val="auto"/>
          <w:sz w:val="24"/>
        </w:rPr>
        <w:t xml:space="preserve">solution may take more time than selling an abstract issue </w:t>
      </w:r>
      <w:r w:rsidRPr="00E75558">
        <w:rPr>
          <w:rFonts w:ascii="Times New Roman" w:hAnsi="Times New Roman" w:cs="Times New Roman"/>
          <w:sz w:val="24"/>
          <w:szCs w:val="26"/>
        </w:rPr>
        <w:t>(Dutton and Ashford, 1993), but may help contextualize the issue as it links to the goals or capabilities of the firm. Given t</w:t>
      </w:r>
      <w:r w:rsidRPr="00E75558">
        <w:rPr>
          <w:rFonts w:ascii="Times New Roman" w:hAnsi="Times New Roman"/>
          <w:color w:val="auto"/>
          <w:sz w:val="24"/>
        </w:rPr>
        <w:t xml:space="preserve">he complexity and long-term nature of social issues, tentative solutions may be particularly important in enhancing targets’ perceptions of organizational capability to address such issues (Dutton and Duncan, 1987). Graham Simpson, for example, linked the challenge of deaths due to simple diseases in rural Africa to GSK’s capabilities, by proposing the development of </w:t>
      </w:r>
      <w:r>
        <w:rPr>
          <w:rFonts w:ascii="Times New Roman" w:hAnsi="Times New Roman"/>
          <w:color w:val="auto"/>
          <w:sz w:val="24"/>
        </w:rPr>
        <w:t xml:space="preserve">cheap, </w:t>
      </w:r>
      <w:r w:rsidRPr="00E75558">
        <w:rPr>
          <w:rFonts w:ascii="Times New Roman" w:hAnsi="Times New Roman"/>
          <w:color w:val="auto"/>
          <w:sz w:val="24"/>
        </w:rPr>
        <w:t>easy diagnostic tests (Simpson, 2012). In another example, Sacha Carina proposed to link the mobile phone locations of slum business owners to TNT’s global logistics network, enabling the creation of geocode-based addresses that overcome the challenges associated with</w:t>
      </w:r>
      <w:r w:rsidR="007735CC">
        <w:rPr>
          <w:rFonts w:ascii="Times New Roman" w:hAnsi="Times New Roman"/>
          <w:color w:val="auto"/>
          <w:sz w:val="24"/>
        </w:rPr>
        <w:t xml:space="preserve"> </w:t>
      </w:r>
      <w:r w:rsidRPr="00E75558">
        <w:rPr>
          <w:rFonts w:ascii="Times New Roman" w:hAnsi="Times New Roman"/>
          <w:color w:val="auto"/>
          <w:sz w:val="24"/>
        </w:rPr>
        <w:t>the lack of formal addresses in slums (van Ginhoven, 2013). In both examples, the initial tentative solutions received support and continued to be developed collectively with both internal and external stakeholders. Hence, we propose:</w:t>
      </w:r>
    </w:p>
    <w:p w:rsidR="00FF2A8D" w:rsidRPr="00E75558" w:rsidRDefault="00FF2A8D" w:rsidP="00FF2A8D">
      <w:pPr>
        <w:pStyle w:val="Normal1"/>
        <w:spacing w:line="480" w:lineRule="auto"/>
        <w:ind w:left="720"/>
        <w:rPr>
          <w:rFonts w:ascii="Times New Roman" w:hAnsi="Times New Roman"/>
          <w:color w:val="auto"/>
          <w:sz w:val="24"/>
        </w:rPr>
      </w:pPr>
    </w:p>
    <w:p w:rsidR="00FF2A8D" w:rsidRPr="00E75558" w:rsidRDefault="00FF2A8D" w:rsidP="00FF2A8D">
      <w:pPr>
        <w:pStyle w:val="Normal1"/>
        <w:spacing w:line="480" w:lineRule="auto"/>
        <w:ind w:left="720"/>
        <w:rPr>
          <w:rFonts w:ascii="Times New Roman" w:hAnsi="Times New Roman"/>
          <w:i/>
          <w:color w:val="auto"/>
          <w:sz w:val="24"/>
        </w:rPr>
      </w:pPr>
      <w:r w:rsidRPr="00E75558">
        <w:rPr>
          <w:rFonts w:ascii="Times New Roman" w:hAnsi="Times New Roman"/>
          <w:i/>
          <w:color w:val="auto"/>
          <w:sz w:val="24"/>
        </w:rPr>
        <w:t>Proposition 1: Contextualizing social issues through tentative solutions will likely facilitate social issue selling initiatives.</w:t>
      </w:r>
    </w:p>
    <w:p w:rsidR="00FF2A8D" w:rsidRPr="00E75558" w:rsidRDefault="00FF2A8D" w:rsidP="00FF2A8D">
      <w:pPr>
        <w:pStyle w:val="Normal1"/>
        <w:spacing w:line="480" w:lineRule="auto"/>
        <w:rPr>
          <w:rFonts w:ascii="Times New Roman" w:hAnsi="Times New Roman"/>
          <w:color w:val="auto"/>
          <w:sz w:val="24"/>
        </w:rPr>
      </w:pPr>
    </w:p>
    <w:p w:rsidR="00FF2A8D" w:rsidRPr="00E75558" w:rsidRDefault="00FF2A8D" w:rsidP="00FF2A8D">
      <w:pPr>
        <w:pStyle w:val="Normal1"/>
        <w:spacing w:line="480" w:lineRule="auto"/>
        <w:ind w:firstLine="720"/>
        <w:rPr>
          <w:rFonts w:ascii="Times New Roman" w:hAnsi="Times New Roman"/>
          <w:color w:val="auto"/>
          <w:sz w:val="24"/>
        </w:rPr>
      </w:pPr>
      <w:r w:rsidRPr="00E75558">
        <w:rPr>
          <w:rFonts w:ascii="Times New Roman" w:hAnsi="Times New Roman"/>
          <w:color w:val="auto"/>
          <w:sz w:val="24"/>
        </w:rPr>
        <w:t xml:space="preserve">If solutions hold the potential to </w:t>
      </w:r>
      <w:r>
        <w:rPr>
          <w:rFonts w:ascii="Times New Roman" w:hAnsi="Times New Roman"/>
          <w:color w:val="auto"/>
          <w:sz w:val="24"/>
        </w:rPr>
        <w:t>represent</w:t>
      </w:r>
      <w:r w:rsidRPr="00E75558">
        <w:rPr>
          <w:rFonts w:ascii="Times New Roman" w:hAnsi="Times New Roman"/>
          <w:color w:val="auto"/>
          <w:sz w:val="24"/>
        </w:rPr>
        <w:t xml:space="preserve"> influential narratives of social issue selling, it is necessary to understand how sellers can integrate their ideas into broader discourses (Martens </w:t>
      </w:r>
      <w:r w:rsidRPr="002A2443">
        <w:rPr>
          <w:rFonts w:ascii="Times New Roman" w:hAnsi="Times New Roman"/>
          <w:i/>
          <w:color w:val="auto"/>
          <w:sz w:val="24"/>
        </w:rPr>
        <w:t>et al.</w:t>
      </w:r>
      <w:r w:rsidRPr="00E75558">
        <w:rPr>
          <w:rFonts w:ascii="Times New Roman" w:hAnsi="Times New Roman"/>
          <w:color w:val="auto"/>
          <w:sz w:val="24"/>
        </w:rPr>
        <w:t xml:space="preserve">, 2007). Next, we </w:t>
      </w:r>
      <w:r>
        <w:rPr>
          <w:rFonts w:ascii="Times New Roman" w:hAnsi="Times New Roman"/>
          <w:color w:val="auto"/>
          <w:sz w:val="24"/>
        </w:rPr>
        <w:t>examine</w:t>
      </w:r>
      <w:r w:rsidRPr="00E75558">
        <w:rPr>
          <w:rFonts w:ascii="Times New Roman" w:hAnsi="Times New Roman"/>
          <w:color w:val="auto"/>
          <w:sz w:val="24"/>
        </w:rPr>
        <w:t xml:space="preserve"> the contributions and limitations of current understanding on the role</w:t>
      </w:r>
      <w:r>
        <w:rPr>
          <w:rFonts w:ascii="Times New Roman" w:hAnsi="Times New Roman"/>
          <w:color w:val="auto"/>
          <w:sz w:val="24"/>
        </w:rPr>
        <w:t>s</w:t>
      </w:r>
      <w:r w:rsidRPr="00E75558">
        <w:rPr>
          <w:rFonts w:ascii="Times New Roman" w:hAnsi="Times New Roman"/>
          <w:color w:val="auto"/>
          <w:sz w:val="24"/>
        </w:rPr>
        <w:t xml:space="preserve"> of the organizational context and targets in the selling process. </w:t>
      </w:r>
    </w:p>
    <w:p w:rsidR="00FF2A8D" w:rsidRPr="00E75558" w:rsidRDefault="00FF2A8D" w:rsidP="00FF2A8D">
      <w:pPr>
        <w:pStyle w:val="Normal1"/>
        <w:spacing w:line="480" w:lineRule="auto"/>
        <w:jc w:val="center"/>
        <w:rPr>
          <w:rFonts w:ascii="Times New Roman" w:eastAsia="Times New Roman" w:hAnsi="Times New Roman" w:cs="Times New Roman"/>
          <w:b/>
          <w:color w:val="auto"/>
          <w:sz w:val="24"/>
          <w:szCs w:val="24"/>
        </w:rPr>
      </w:pPr>
      <w:r w:rsidRPr="00E75558">
        <w:rPr>
          <w:rFonts w:ascii="Times New Roman" w:eastAsia="Times New Roman" w:hAnsi="Times New Roman" w:cs="Times New Roman"/>
          <w:b/>
          <w:color w:val="auto"/>
          <w:sz w:val="24"/>
          <w:szCs w:val="24"/>
        </w:rPr>
        <w:t>CONTEXT AND TARGET SIGNALS IN SOCIAL ISSUE SELLING</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Understanding and interpreting the organizational context and targets of selling initiatives is a key aspect of the work of issue sellers. Successful sellers and champions have high levels of normative, strategic, and relational knowledge (Dutton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2001; Howell and Boies, 2004), and express that knowledge through selling moves that improve their ability to influence organizations to address issues (Howard-Grenville, 2007). Social issues, which are often ‘wicked’ </w:t>
      </w:r>
      <w:r>
        <w:rPr>
          <w:rFonts w:ascii="Times New Roman" w:eastAsia="Times New Roman" w:hAnsi="Times New Roman" w:cs="Times New Roman"/>
          <w:color w:val="auto"/>
          <w:sz w:val="24"/>
          <w:szCs w:val="24"/>
        </w:rPr>
        <w:t xml:space="preserve">problems </w:t>
      </w:r>
      <w:r w:rsidRPr="00E75558">
        <w:rPr>
          <w:rFonts w:ascii="Times New Roman" w:eastAsia="Times New Roman" w:hAnsi="Times New Roman" w:cs="Times New Roman"/>
          <w:color w:val="auto"/>
          <w:sz w:val="24"/>
          <w:szCs w:val="24"/>
        </w:rPr>
        <w:t>and not necessarily linked to the objectives of for-profit organizations, may thus challenge sellers’ interpretation</w:t>
      </w:r>
      <w:r>
        <w:rPr>
          <w:rFonts w:ascii="Times New Roman" w:eastAsia="Times New Roman" w:hAnsi="Times New Roman" w:cs="Times New Roman"/>
          <w:color w:val="auto"/>
          <w:sz w:val="24"/>
          <w:szCs w:val="24"/>
        </w:rPr>
        <w:t>s</w:t>
      </w:r>
      <w:r w:rsidRPr="00E75558">
        <w:rPr>
          <w:rFonts w:ascii="Times New Roman" w:eastAsia="Times New Roman" w:hAnsi="Times New Roman" w:cs="Times New Roman"/>
          <w:color w:val="auto"/>
          <w:sz w:val="24"/>
          <w:szCs w:val="24"/>
        </w:rPr>
        <w:t xml:space="preserve"> of contextual and target signals for selling.</w:t>
      </w:r>
    </w:p>
    <w:p w:rsidR="00FF2A8D" w:rsidRPr="00E75558" w:rsidRDefault="00FF2A8D" w:rsidP="00FF2A8D">
      <w:pPr>
        <w:pStyle w:val="Normal1"/>
        <w:spacing w:line="480" w:lineRule="auto"/>
        <w:rPr>
          <w:rFonts w:ascii="Times New Roman" w:eastAsia="Times New Roman" w:hAnsi="Times New Roman" w:cs="Times New Roman"/>
          <w:b/>
          <w:color w:val="auto"/>
          <w:sz w:val="24"/>
          <w:szCs w:val="24"/>
        </w:rPr>
      </w:pPr>
      <w:r w:rsidRPr="00E75558">
        <w:rPr>
          <w:rFonts w:ascii="Times New Roman" w:eastAsia="Times New Roman" w:hAnsi="Times New Roman" w:cs="Times New Roman"/>
          <w:b/>
          <w:color w:val="auto"/>
          <w:sz w:val="24"/>
          <w:szCs w:val="24"/>
        </w:rPr>
        <w:t>Understanding the organizational context for social issue selling</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One way in which sellers sell social issues in for-profit organizations is by shaping discourse around issues, or public justifications for issue adoption, in light of the values organizations emphasize (Bansal, 2003; Sonenshein, 2006). Accordingly, studies examining environmental issue selling found that success depended on the strength of organizations’ environmental paradigm (Andersson and Bateman, 2000), or the congruence of </w:t>
      </w:r>
      <w:r>
        <w:rPr>
          <w:rFonts w:ascii="Times New Roman" w:eastAsia="Times New Roman" w:hAnsi="Times New Roman" w:cs="Times New Roman"/>
          <w:color w:val="auto"/>
          <w:sz w:val="24"/>
          <w:szCs w:val="24"/>
        </w:rPr>
        <w:t xml:space="preserve">the </w:t>
      </w:r>
      <w:r w:rsidRPr="00E75558">
        <w:rPr>
          <w:rFonts w:ascii="Times New Roman" w:eastAsia="Times New Roman" w:hAnsi="Times New Roman" w:cs="Times New Roman"/>
          <w:color w:val="auto"/>
          <w:sz w:val="24"/>
          <w:szCs w:val="24"/>
        </w:rPr>
        <w:t>issues with organizational values (Bansal, 2003).</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Bansal’s (2003) study is particularly illuminating in this regard. Specifically, she demonstrated that framing how issues benefited organizations was not the only way of generating positive organizational responses, as successful sellers could also appeal to norms and values if </w:t>
      </w:r>
      <w:r>
        <w:rPr>
          <w:rFonts w:ascii="Times New Roman" w:eastAsia="Times New Roman" w:hAnsi="Times New Roman" w:cs="Times New Roman"/>
          <w:color w:val="auto"/>
          <w:sz w:val="24"/>
          <w:szCs w:val="24"/>
        </w:rPr>
        <w:t xml:space="preserve">their </w:t>
      </w:r>
      <w:r w:rsidRPr="00E75558">
        <w:rPr>
          <w:rFonts w:ascii="Times New Roman" w:eastAsia="Times New Roman" w:hAnsi="Times New Roman" w:cs="Times New Roman"/>
          <w:color w:val="auto"/>
          <w:sz w:val="24"/>
          <w:szCs w:val="24"/>
        </w:rPr>
        <w:t xml:space="preserve">organizations displayed commitment to the environment or society. Yet she also </w:t>
      </w:r>
      <w:r>
        <w:rPr>
          <w:rFonts w:ascii="Times New Roman" w:eastAsia="Times New Roman" w:hAnsi="Times New Roman" w:cs="Times New Roman"/>
          <w:color w:val="auto"/>
          <w:sz w:val="24"/>
          <w:szCs w:val="24"/>
        </w:rPr>
        <w:t>emphasized</w:t>
      </w:r>
      <w:r w:rsidRPr="00E75558">
        <w:rPr>
          <w:rFonts w:ascii="Times New Roman" w:eastAsia="Times New Roman" w:hAnsi="Times New Roman" w:cs="Times New Roman"/>
          <w:color w:val="auto"/>
          <w:sz w:val="24"/>
          <w:szCs w:val="24"/>
        </w:rPr>
        <w:t xml:space="preserve"> that </w:t>
      </w:r>
      <w:r w:rsidRPr="00E75558">
        <w:rPr>
          <w:rFonts w:ascii="Times New Roman" w:hAnsi="Times New Roman" w:cs="Times New Roman"/>
          <w:sz w:val="24"/>
          <w:szCs w:val="26"/>
        </w:rPr>
        <w:t>“some values had greater priority or importance than others, and fit with those values was more relevant than with less important values” (Bansal, 2003, p. 521). Hence, sellers in her study</w:t>
      </w:r>
      <w:r w:rsidRPr="00E75558">
        <w:rPr>
          <w:rFonts w:ascii="Times New Roman" w:eastAsia="Times New Roman" w:hAnsi="Times New Roman" w:cs="Times New Roman"/>
          <w:color w:val="auto"/>
          <w:sz w:val="24"/>
          <w:szCs w:val="24"/>
        </w:rPr>
        <w:t xml:space="preserve"> could advance issues on moral grounds, but only succeeded to the extent that issues could also be aligned with economic values.</w:t>
      </w:r>
    </w:p>
    <w:p w:rsidR="00FF2A8D" w:rsidRPr="00E75558" w:rsidRDefault="00FF2A8D" w:rsidP="00FF2A8D">
      <w:pPr>
        <w:pStyle w:val="Normal1"/>
        <w:spacing w:line="480" w:lineRule="auto"/>
        <w:ind w:firstLine="720"/>
        <w:rPr>
          <w:rFonts w:ascii="Times New Roman" w:hAnsi="Times New Roman"/>
          <w:sz w:val="24"/>
          <w:szCs w:val="26"/>
        </w:rPr>
      </w:pPr>
      <w:r w:rsidRPr="00E75558">
        <w:rPr>
          <w:rFonts w:ascii="Times New Roman" w:hAnsi="Times New Roman"/>
          <w:sz w:val="24"/>
          <w:szCs w:val="26"/>
        </w:rPr>
        <w:t xml:space="preserve">We suggest that two limitations characterize our current understanding of how context influences social issue selling. First, although </w:t>
      </w:r>
      <w:r>
        <w:rPr>
          <w:rFonts w:ascii="Times New Roman" w:hAnsi="Times New Roman"/>
          <w:sz w:val="24"/>
          <w:szCs w:val="26"/>
        </w:rPr>
        <w:t xml:space="preserve">the </w:t>
      </w:r>
      <w:r w:rsidRPr="00E75558">
        <w:rPr>
          <w:rFonts w:ascii="Times New Roman" w:hAnsi="Times New Roman"/>
          <w:sz w:val="24"/>
          <w:szCs w:val="26"/>
        </w:rPr>
        <w:t>extant literature offers useful insights into how context influences the discourse of sellers around issues (Bansal, 2003; Sonenshein, 2006), the question of h</w:t>
      </w:r>
      <w:r w:rsidRPr="00E75558">
        <w:rPr>
          <w:rFonts w:ascii="Times New Roman" w:eastAsia="Times New Roman" w:hAnsi="Times New Roman" w:cs="Times New Roman"/>
          <w:color w:val="auto"/>
          <w:sz w:val="24"/>
          <w:szCs w:val="24"/>
        </w:rPr>
        <w:t>ow sellers can craft solutions that connect to the meaning systems of organizations remains unanswered.</w:t>
      </w:r>
      <w:r w:rsidRPr="00E75558">
        <w:rPr>
          <w:rFonts w:ascii="Times New Roman" w:hAnsi="Times New Roman"/>
          <w:sz w:val="24"/>
          <w:szCs w:val="26"/>
        </w:rPr>
        <w:t xml:space="preserve"> As previously argued, this is important because solutions can facilitate the work of issue sellers by contextualizing the link between social issues and firms’ capabilities. Second, the conceptualization of context in terms of values implies that there is a hierarchy </w:t>
      </w:r>
      <w:r>
        <w:rPr>
          <w:rFonts w:ascii="Times New Roman" w:hAnsi="Times New Roman"/>
          <w:sz w:val="24"/>
          <w:szCs w:val="26"/>
        </w:rPr>
        <w:t>among</w:t>
      </w:r>
      <w:r w:rsidRPr="00E75558">
        <w:rPr>
          <w:rFonts w:ascii="Times New Roman" w:hAnsi="Times New Roman"/>
          <w:sz w:val="24"/>
          <w:szCs w:val="26"/>
        </w:rPr>
        <w:t xml:space="preserve"> values </w:t>
      </w:r>
      <w:r w:rsidRPr="00E75558">
        <w:rPr>
          <w:rFonts w:ascii="Times New Roman" w:hAnsi="Times New Roman" w:cs="Times New Roman"/>
          <w:sz w:val="24"/>
          <w:szCs w:val="26"/>
        </w:rPr>
        <w:t>(Rokeach, 1973)</w:t>
      </w:r>
      <w:r w:rsidRPr="00E75558">
        <w:rPr>
          <w:rFonts w:ascii="Times New Roman" w:hAnsi="Times New Roman"/>
          <w:sz w:val="24"/>
          <w:szCs w:val="26"/>
        </w:rPr>
        <w:t xml:space="preserve">. As economic values prevail in for-profit organizations, the notion of values limits explanations of organizations adopting solutions to social issues that have little congruence with economic values. As we will argue below, a focus on </w:t>
      </w:r>
      <w:r w:rsidRPr="00BC5750">
        <w:rPr>
          <w:rFonts w:ascii="Times New Roman" w:hAnsi="Times New Roman"/>
          <w:i/>
          <w:sz w:val="24"/>
          <w:szCs w:val="26"/>
        </w:rPr>
        <w:t>logics</w:t>
      </w:r>
      <w:r w:rsidRPr="00E75558">
        <w:rPr>
          <w:rFonts w:ascii="Times New Roman" w:hAnsi="Times New Roman"/>
          <w:sz w:val="24"/>
          <w:szCs w:val="26"/>
        </w:rPr>
        <w:t xml:space="preserve"> (as opposed to values) allows for a more nuanced and heterogeneous understanding of the organizational meaning system, where meanings can be observed not only in terms of their centrality (or hierarchy), but also in terms of their compatibility (Besharov and Smith, 2014). </w:t>
      </w:r>
    </w:p>
    <w:p w:rsidR="00FF2A8D" w:rsidRPr="00E75558" w:rsidRDefault="00FF2A8D" w:rsidP="00FF2A8D">
      <w:pPr>
        <w:pStyle w:val="Normal1"/>
        <w:spacing w:line="480" w:lineRule="auto"/>
        <w:rPr>
          <w:rFonts w:ascii="Times New Roman" w:eastAsia="Times New Roman" w:hAnsi="Times New Roman" w:cs="Times New Roman"/>
          <w:b/>
          <w:color w:val="auto"/>
          <w:sz w:val="24"/>
          <w:szCs w:val="24"/>
        </w:rPr>
      </w:pPr>
      <w:r w:rsidRPr="00E75558">
        <w:rPr>
          <w:rFonts w:ascii="Times New Roman" w:eastAsia="Times New Roman" w:hAnsi="Times New Roman" w:cs="Times New Roman"/>
          <w:b/>
          <w:color w:val="auto"/>
          <w:sz w:val="24"/>
          <w:szCs w:val="24"/>
        </w:rPr>
        <w:t>Institutional logics in social issue selling</w:t>
      </w:r>
    </w:p>
    <w:p w:rsidR="00FF2A8D" w:rsidRPr="00E75558" w:rsidRDefault="00FF2A8D" w:rsidP="00FF2A8D">
      <w:pPr>
        <w:pStyle w:val="Normal1"/>
        <w:spacing w:line="480" w:lineRule="auto"/>
        <w:ind w:firstLine="720"/>
        <w:rPr>
          <w:rFonts w:ascii="Times New Roman" w:eastAsia="Times New Roman" w:hAnsi="Times New Roman" w:cs="Times New Roman"/>
          <w:sz w:val="24"/>
        </w:rPr>
      </w:pPr>
      <w:r w:rsidRPr="00E75558">
        <w:rPr>
          <w:rFonts w:ascii="Times New Roman" w:eastAsia="Times New Roman" w:hAnsi="Times New Roman" w:cs="Times New Roman"/>
          <w:sz w:val="24"/>
        </w:rPr>
        <w:t>At the field level, a logic is defined as “a set of material practices and symbolic constructions</w:t>
      </w:r>
      <w:r w:rsidRPr="00E75558">
        <w:rPr>
          <w:rFonts w:ascii="Times New Roman" w:hAnsi="Times New Roman"/>
          <w:color w:val="auto"/>
          <w:sz w:val="24"/>
        </w:rPr>
        <w:t>—</w:t>
      </w:r>
      <w:r w:rsidRPr="00E75558">
        <w:rPr>
          <w:rFonts w:ascii="Times New Roman" w:eastAsia="Times New Roman" w:hAnsi="Times New Roman" w:cs="Times New Roman"/>
          <w:sz w:val="24"/>
        </w:rPr>
        <w:t>which constitutes its organizing principles and which is available to organizations and individuals to elaborate” (Friedland and Alford, 1991, p. 248). The elaboration of organizing principles by individuals and organizations may, in turn, lead to the construction of organizational logics.</w:t>
      </w:r>
      <w:r w:rsidRPr="00E75558">
        <w:rPr>
          <w:rFonts w:ascii="Times New Roman" w:eastAsia="Times New Roman" w:hAnsi="Times New Roman" w:cs="Times New Roman"/>
          <w:color w:val="auto"/>
          <w:sz w:val="24"/>
          <w:szCs w:val="24"/>
        </w:rPr>
        <w:t xml:space="preserve"> </w:t>
      </w:r>
      <w:r w:rsidRPr="00E75558">
        <w:rPr>
          <w:rFonts w:ascii="Times New Roman" w:eastAsia="Times New Roman" w:hAnsi="Times New Roman" w:cs="Times New Roman"/>
          <w:sz w:val="24"/>
        </w:rPr>
        <w:t xml:space="preserve">Organizations filter institutional prescriptions through various attributes, such as their identity, ownership, governance, structure, and their position within a field (Greenwood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2011). Because these attributes are heterogeneous among organizations, there is variation in how logics prescribed at the institutional level are elaborated at the organizational level. Thus, for each organization this filtering process results in an organizational logic (Crilly and Sloan, 2012; Helms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2012; Spicer and Sewell, 2010), which can be understood as “a composite expression of a range of institutional logics localized in time and space” (Spicer and Sewell, 2010, p. 918). </w:t>
      </w:r>
      <w:r w:rsidRPr="00E75558">
        <w:rPr>
          <w:rFonts w:ascii="Times New Roman" w:eastAsia="Times New Roman" w:hAnsi="Times New Roman" w:cs="Times New Roman"/>
          <w:color w:val="auto"/>
          <w:sz w:val="24"/>
        </w:rPr>
        <w:t xml:space="preserve">As an alternative construct </w:t>
      </w:r>
      <w:r>
        <w:rPr>
          <w:rFonts w:ascii="Times New Roman" w:eastAsia="Times New Roman" w:hAnsi="Times New Roman" w:cs="Times New Roman"/>
          <w:color w:val="auto"/>
          <w:sz w:val="24"/>
        </w:rPr>
        <w:t xml:space="preserve">through which </w:t>
      </w:r>
      <w:r w:rsidRPr="00E75558">
        <w:rPr>
          <w:rFonts w:ascii="Times New Roman" w:eastAsia="Times New Roman" w:hAnsi="Times New Roman" w:cs="Times New Roman"/>
          <w:color w:val="auto"/>
          <w:sz w:val="24"/>
        </w:rPr>
        <w:t xml:space="preserve">to consider the context for selling social issues, logics contrast not only with values but also with </w:t>
      </w:r>
      <w:r w:rsidRPr="00E75558">
        <w:rPr>
          <w:rFonts w:ascii="Times New Roman" w:eastAsia="Times New Roman" w:hAnsi="Times New Roman" w:cs="Times New Roman"/>
          <w:color w:val="auto"/>
          <w:sz w:val="24"/>
          <w:szCs w:val="24"/>
        </w:rPr>
        <w:t xml:space="preserve">culture (Dutton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1997, Dutton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2002; Howard-Grenville and Hoffman, 2003). </w:t>
      </w:r>
      <w:r>
        <w:rPr>
          <w:rFonts w:ascii="Times New Roman" w:eastAsia="Times New Roman" w:hAnsi="Times New Roman" w:cs="Times New Roman"/>
          <w:color w:val="auto"/>
          <w:sz w:val="24"/>
          <w:szCs w:val="24"/>
        </w:rPr>
        <w:t>Next, t</w:t>
      </w:r>
      <w:r w:rsidRPr="00E75558">
        <w:rPr>
          <w:rFonts w:ascii="Times New Roman" w:eastAsia="Times New Roman" w:hAnsi="Times New Roman" w:cs="Times New Roman"/>
          <w:color w:val="auto"/>
          <w:sz w:val="24"/>
          <w:szCs w:val="24"/>
        </w:rPr>
        <w:t>o unpack our arguments, we highlight the differences among these three conceptions of context, as well as the resulting implications for our theory development.</w:t>
      </w:r>
    </w:p>
    <w:p w:rsidR="00FF2A8D" w:rsidRPr="00E75558" w:rsidRDefault="00FF2A8D" w:rsidP="00FF2A8D">
      <w:pPr>
        <w:pStyle w:val="Normal1"/>
        <w:spacing w:line="480" w:lineRule="auto"/>
        <w:ind w:firstLine="720"/>
        <w:rPr>
          <w:rFonts w:ascii="Times New Roman" w:eastAsia="Times New Roman" w:hAnsi="Times New Roman" w:cs="Times New Roman"/>
          <w:sz w:val="24"/>
        </w:rPr>
      </w:pPr>
      <w:r w:rsidRPr="00E75558">
        <w:rPr>
          <w:rFonts w:ascii="Times New Roman" w:eastAsia="Times New Roman" w:hAnsi="Times New Roman" w:cs="Times New Roman"/>
          <w:color w:val="auto"/>
          <w:sz w:val="24"/>
          <w:szCs w:val="24"/>
        </w:rPr>
        <w:t>The notions of culture and logics are highly interrelated.</w:t>
      </w:r>
      <w:r w:rsidRPr="00E75558">
        <w:rPr>
          <w:rFonts w:ascii="Times New Roman" w:eastAsia="Times New Roman" w:hAnsi="Times New Roman" w:cs="Times New Roman"/>
          <w:color w:val="auto"/>
          <w:sz w:val="24"/>
        </w:rPr>
        <w:t xml:space="preserve"> </w:t>
      </w:r>
      <w:r w:rsidRPr="00E75558">
        <w:rPr>
          <w:rFonts w:ascii="Times New Roman" w:eastAsia="Times New Roman" w:hAnsi="Times New Roman" w:cs="Times New Roman"/>
          <w:color w:val="auto"/>
          <w:sz w:val="24"/>
          <w:szCs w:val="24"/>
        </w:rPr>
        <w:t>In a recent dialog</w:t>
      </w:r>
      <w:r>
        <w:rPr>
          <w:rFonts w:ascii="Times New Roman" w:eastAsia="Times New Roman" w:hAnsi="Times New Roman" w:cs="Times New Roman"/>
          <w:color w:val="auto"/>
          <w:sz w:val="24"/>
          <w:szCs w:val="24"/>
        </w:rPr>
        <w:t>ue</w:t>
      </w:r>
      <w:r w:rsidRPr="00E75558">
        <w:rPr>
          <w:rFonts w:ascii="Times New Roman" w:eastAsia="Times New Roman" w:hAnsi="Times New Roman" w:cs="Times New Roman"/>
          <w:color w:val="auto"/>
          <w:sz w:val="24"/>
          <w:szCs w:val="24"/>
        </w:rPr>
        <w:t xml:space="preserve"> between institutional theory and organizational culture scholars, Schultz and Hinings (2012, p. 108) suggest that “organizational cultures embody and challenge prevailing and new institutional logics… [and] institutional logics embody and challenge prevailing organizational cultures”</w:t>
      </w:r>
      <w:r w:rsidR="00030B3E">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rPr>
        <w:t xml:space="preserve"> </w:t>
      </w:r>
      <w:r w:rsidRPr="00E75558">
        <w:rPr>
          <w:rFonts w:ascii="Times New Roman" w:eastAsia="Times New Roman" w:hAnsi="Times New Roman" w:cs="Times New Roman"/>
          <w:color w:val="auto"/>
          <w:sz w:val="24"/>
          <w:szCs w:val="24"/>
        </w:rPr>
        <w:t xml:space="preserve">In this paper, we subscribe to the idea that logics provide ‘raw cultural material’ (Jones and Livne-Tarandach, 2008) to individuals and organizations, </w:t>
      </w:r>
      <w:r>
        <w:rPr>
          <w:rFonts w:ascii="Times New Roman" w:eastAsia="Times New Roman" w:hAnsi="Times New Roman" w:cs="Times New Roman"/>
          <w:color w:val="auto"/>
          <w:sz w:val="24"/>
          <w:szCs w:val="24"/>
        </w:rPr>
        <w:t>as aligned with</w:t>
      </w:r>
      <w:r w:rsidRPr="00E75558">
        <w:rPr>
          <w:rFonts w:ascii="Times New Roman" w:eastAsia="Times New Roman" w:hAnsi="Times New Roman" w:cs="Times New Roman"/>
          <w:color w:val="auto"/>
          <w:sz w:val="24"/>
          <w:szCs w:val="24"/>
        </w:rPr>
        <w:t xml:space="preserve"> research examining how institutional logics are enacted at the organizational level (e.g., Almandoz, 2012, 2014; Besharov and Smith, 2014; Mair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2015; Pache and Santos, 2013; Smets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2015). In doing that, we do not see the operationalization of logics at the</w:t>
      </w:r>
      <w:r w:rsidRPr="00E75558">
        <w:rPr>
          <w:rFonts w:ascii="Times New Roman" w:eastAsia="Times New Roman" w:hAnsi="Times New Roman" w:cs="Times New Roman"/>
          <w:color w:val="FF0000"/>
          <w:sz w:val="24"/>
          <w:szCs w:val="24"/>
        </w:rPr>
        <w:t xml:space="preserve"> </w:t>
      </w:r>
      <w:r w:rsidRPr="00E75558">
        <w:rPr>
          <w:rFonts w:ascii="Times New Roman" w:eastAsia="Times New Roman" w:hAnsi="Times New Roman" w:cs="Times New Roman"/>
          <w:color w:val="auto"/>
          <w:sz w:val="24"/>
          <w:szCs w:val="24"/>
        </w:rPr>
        <w:t>organizational level as substitutive of</w:t>
      </w:r>
      <w:r>
        <w:rPr>
          <w:rFonts w:ascii="Times New Roman" w:eastAsia="Times New Roman" w:hAnsi="Times New Roman" w:cs="Times New Roman"/>
          <w:color w:val="auto"/>
          <w:sz w:val="24"/>
          <w:szCs w:val="24"/>
        </w:rPr>
        <w:t xml:space="preserve">—or </w:t>
      </w:r>
      <w:r w:rsidRPr="00E75558">
        <w:rPr>
          <w:rFonts w:ascii="Times New Roman" w:eastAsia="Times New Roman" w:hAnsi="Times New Roman" w:cs="Times New Roman"/>
          <w:color w:val="auto"/>
          <w:sz w:val="24"/>
          <w:szCs w:val="24"/>
        </w:rPr>
        <w:t>equivalent to</w:t>
      </w:r>
      <w:r>
        <w:rPr>
          <w:rFonts w:ascii="Times New Roman" w:eastAsia="Times New Roman" w:hAnsi="Times New Roman" w:cs="Times New Roman"/>
          <w:color w:val="auto"/>
          <w:sz w:val="24"/>
          <w:szCs w:val="24"/>
        </w:rPr>
        <w:t>—o</w:t>
      </w:r>
      <w:r w:rsidRPr="00E75558">
        <w:rPr>
          <w:rFonts w:ascii="Times New Roman" w:eastAsia="Times New Roman" w:hAnsi="Times New Roman" w:cs="Times New Roman"/>
          <w:color w:val="auto"/>
          <w:sz w:val="24"/>
          <w:szCs w:val="24"/>
        </w:rPr>
        <w:t>rganizational culture</w:t>
      </w:r>
      <w:r>
        <w:rPr>
          <w:rFonts w:ascii="Times New Roman" w:eastAsia="Times New Roman" w:hAnsi="Times New Roman" w:cs="Times New Roman"/>
          <w:color w:val="auto"/>
          <w:sz w:val="24"/>
          <w:szCs w:val="24"/>
        </w:rPr>
        <w:t>. In</w:t>
      </w:r>
      <w:r w:rsidRPr="00E75558">
        <w:rPr>
          <w:rFonts w:ascii="Times New Roman" w:eastAsia="Times New Roman" w:hAnsi="Times New Roman" w:cs="Times New Roman"/>
          <w:color w:val="auto"/>
          <w:sz w:val="24"/>
          <w:szCs w:val="24"/>
        </w:rPr>
        <w:t>stead, we see logics as elements of idiosyncratic internal cultures. The notion of logics as cultural materials, as McPherson and Sauder (2013, p. 168) suggest, “has an obvious affinity to Swidler’s (1986) cultural toolkit approach”</w:t>
      </w:r>
      <w:r w:rsidR="00FE53B2">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szCs w:val="24"/>
        </w:rPr>
        <w:t xml:space="preserve"> Although we acknowledge that culture shapes action, and that actors use culture to promote change (Swidler, 1986), we suggest that attention to logics as raw elements of cultures can enable meaningful comparisons of social issue selling across for-profit organizations, and enhance our understanding of how social innovation unfolds in such contexts.</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We also argue that a focus on logics enables observations of variations of the selling process that are not captured </w:t>
      </w:r>
      <w:r>
        <w:rPr>
          <w:rFonts w:ascii="Times New Roman" w:eastAsia="Times New Roman" w:hAnsi="Times New Roman" w:cs="Times New Roman"/>
          <w:color w:val="auto"/>
          <w:sz w:val="24"/>
          <w:szCs w:val="24"/>
        </w:rPr>
        <w:t>by</w:t>
      </w:r>
      <w:r w:rsidRPr="00E75558">
        <w:rPr>
          <w:rFonts w:ascii="Times New Roman" w:eastAsia="Times New Roman" w:hAnsi="Times New Roman" w:cs="Times New Roman"/>
          <w:color w:val="auto"/>
          <w:sz w:val="24"/>
          <w:szCs w:val="24"/>
        </w:rPr>
        <w:t xml:space="preserve"> the values perspective. As we </w:t>
      </w:r>
      <w:r>
        <w:rPr>
          <w:rFonts w:ascii="Times New Roman" w:eastAsia="Times New Roman" w:hAnsi="Times New Roman" w:cs="Times New Roman"/>
          <w:color w:val="auto"/>
          <w:sz w:val="24"/>
          <w:szCs w:val="24"/>
        </w:rPr>
        <w:t>discussed in earlier coverage of</w:t>
      </w:r>
      <w:r w:rsidRPr="00E75558">
        <w:rPr>
          <w:rFonts w:ascii="Times New Roman" w:eastAsia="Times New Roman" w:hAnsi="Times New Roman" w:cs="Times New Roman"/>
          <w:color w:val="auto"/>
          <w:sz w:val="24"/>
          <w:szCs w:val="24"/>
        </w:rPr>
        <w:t xml:space="preserve"> Bansal’s (2003) study, implicit in the view that organizations will respond to issues that have congruence with organizational values is a hierarchy among existing values (Rokeach, 1973). This notion implies that social issues are, to varying degrees, inherently illegitimate in for-profit organizations due to strong profit motives or shareholder primacy (Sonenshein, 2014). Although the illegitimacy of social issues could be justified on the basis of a dominant commercial logic, we argue that from a logics perspective</w:t>
      </w:r>
      <w:r>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szCs w:val="24"/>
        </w:rPr>
        <w:t xml:space="preserve"> actions that are peripheral to for-profit organizations are conceptually different from those considered inappropriate or undesirable (i.e., illegitimate). Specifically, we suggest that the notion of hierarchy falls short in capturing all relevant dimensions that may explain how different logics can coexist within an organization.</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sz w:val="24"/>
        </w:rPr>
        <w:t>Besharov and Smith (2014) propose that in order to understand how two or more logics are enacted in organizations, it is useful to observe the dimensions of centrality and compatibility. Centrality refers to the degree to which multiple logics “manifest in core features that are central to organizational functioning”</w:t>
      </w:r>
      <w:r w:rsidR="00C9446A">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whereas compatibility refers to the degree to which logics “imply consistent organizational actions” (Besharov and Smith, 2014, p. 365). According to this rationale, centrality is high when two or more logics are central to a given organization, and low when a single logic guides the organizational core. Similarly, compatibility is high when an organization enacts two or more logics </w:t>
      </w:r>
      <w:r>
        <w:rPr>
          <w:rFonts w:ascii="Times New Roman" w:eastAsia="Times New Roman" w:hAnsi="Times New Roman" w:cs="Times New Roman"/>
          <w:sz w:val="24"/>
        </w:rPr>
        <w:t>such</w:t>
      </w:r>
      <w:r w:rsidRPr="00E75558">
        <w:rPr>
          <w:rFonts w:ascii="Times New Roman" w:eastAsia="Times New Roman" w:hAnsi="Times New Roman" w:cs="Times New Roman"/>
          <w:sz w:val="24"/>
        </w:rPr>
        <w:t xml:space="preserve"> that one reinforces the prescriptions of the other, and low when </w:t>
      </w:r>
      <w:r>
        <w:rPr>
          <w:rFonts w:ascii="Times New Roman" w:eastAsia="Times New Roman" w:hAnsi="Times New Roman" w:cs="Times New Roman"/>
          <w:sz w:val="24"/>
        </w:rPr>
        <w:t xml:space="preserve">the organization adopts </w:t>
      </w:r>
      <w:r w:rsidRPr="00E75558">
        <w:rPr>
          <w:rFonts w:ascii="Times New Roman" w:eastAsia="Times New Roman" w:hAnsi="Times New Roman" w:cs="Times New Roman"/>
          <w:sz w:val="24"/>
        </w:rPr>
        <w:t>contradictory prescriptions from both logics. Hence, we argue that</w:t>
      </w:r>
      <w:r w:rsidRPr="00E75558">
        <w:rPr>
          <w:rFonts w:ascii="Times New Roman" w:eastAsia="Times New Roman" w:hAnsi="Times New Roman" w:cs="Times New Roman"/>
          <w:color w:val="auto"/>
          <w:sz w:val="24"/>
          <w:szCs w:val="24"/>
        </w:rPr>
        <w:t xml:space="preserve"> the notion of compatibility between different logics enables researchers to capture variations in the social issue selling process that the notion of centrality, or subordination to dominant values, would not reveal</w:t>
      </w:r>
      <w:r>
        <w:rPr>
          <w:rFonts w:ascii="Times New Roman" w:eastAsia="Times New Roman" w:hAnsi="Times New Roman" w:cs="Times New Roman"/>
          <w:color w:val="auto"/>
          <w:sz w:val="24"/>
          <w:szCs w:val="24"/>
        </w:rPr>
        <w:t xml:space="preserve"> on its own</w:t>
      </w:r>
      <w:r w:rsidRPr="00E75558">
        <w:rPr>
          <w:rFonts w:ascii="Times New Roman" w:eastAsia="Times New Roman" w:hAnsi="Times New Roman" w:cs="Times New Roman"/>
          <w:color w:val="auto"/>
          <w:sz w:val="24"/>
          <w:szCs w:val="24"/>
        </w:rPr>
        <w:t>. For the purpose of our paper, we consider how different levels of compatibility between a core commercial logic and a peripheral social welfare logic may influence the social issue selling process in for-profit organizations.</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hAnsi="Times New Roman" w:cs="Times New Roman"/>
          <w:color w:val="auto"/>
          <w:sz w:val="24"/>
          <w:szCs w:val="24"/>
        </w:rPr>
        <w:t xml:space="preserve">A social welfare logic guides activities that benefit society and the natural environment by improving social conditions, addressing social needs, and relieving suffering (Lee and Battilana, 2013; Pache and Santos, 2013; Smith </w:t>
      </w:r>
      <w:r w:rsidRPr="002A2443">
        <w:rPr>
          <w:rFonts w:ascii="Times New Roman" w:hAnsi="Times New Roman" w:cs="Times New Roman"/>
          <w:i/>
          <w:color w:val="auto"/>
          <w:sz w:val="24"/>
          <w:szCs w:val="24"/>
        </w:rPr>
        <w:t>et al.</w:t>
      </w:r>
      <w:r w:rsidRPr="00E75558">
        <w:rPr>
          <w:rFonts w:ascii="Times New Roman" w:hAnsi="Times New Roman" w:cs="Times New Roman"/>
          <w:color w:val="auto"/>
          <w:sz w:val="24"/>
          <w:szCs w:val="24"/>
        </w:rPr>
        <w:t xml:space="preserve">, 2013). Specifically, it promotes initiatives that “improve the well-being of communities on local and global levels in such areas as health, race relations, the environment, or economic development” (Bies </w:t>
      </w:r>
      <w:r w:rsidRPr="002A2443">
        <w:rPr>
          <w:rFonts w:ascii="Times New Roman" w:hAnsi="Times New Roman" w:cs="Times New Roman"/>
          <w:i/>
          <w:color w:val="auto"/>
          <w:sz w:val="24"/>
          <w:szCs w:val="24"/>
        </w:rPr>
        <w:t>et al.</w:t>
      </w:r>
      <w:r w:rsidRPr="00E75558">
        <w:rPr>
          <w:rFonts w:ascii="Times New Roman" w:hAnsi="Times New Roman" w:cs="Times New Roman"/>
          <w:color w:val="auto"/>
          <w:sz w:val="24"/>
          <w:szCs w:val="24"/>
        </w:rPr>
        <w:t xml:space="preserve"> 2007, p. 788), and hence underpins the work of social issue sellers. In the context of for-profit organizations, it contrasts with the commercial logic of “profit, efficiency, and operational effectiveness” (Smith </w:t>
      </w:r>
      <w:r w:rsidRPr="002A2443">
        <w:rPr>
          <w:rFonts w:ascii="Times New Roman" w:hAnsi="Times New Roman" w:cs="Times New Roman"/>
          <w:i/>
          <w:color w:val="auto"/>
          <w:sz w:val="24"/>
          <w:szCs w:val="24"/>
        </w:rPr>
        <w:t>et al.</w:t>
      </w:r>
      <w:r w:rsidRPr="00E75558">
        <w:rPr>
          <w:rFonts w:ascii="Times New Roman" w:hAnsi="Times New Roman" w:cs="Times New Roman"/>
          <w:color w:val="auto"/>
          <w:sz w:val="24"/>
          <w:szCs w:val="24"/>
        </w:rPr>
        <w:t>, 2013, p. 417) because it promotes goals that go beyond wealth maximization (Sonenshein, 2014).</w:t>
      </w:r>
    </w:p>
    <w:p w:rsidR="00FF2A8D" w:rsidRPr="00E75558" w:rsidRDefault="00FF2A8D" w:rsidP="00FF2A8D">
      <w:pPr>
        <w:pStyle w:val="Normal1"/>
        <w:spacing w:line="480" w:lineRule="auto"/>
        <w:ind w:firstLine="720"/>
        <w:rPr>
          <w:rFonts w:ascii="Times New Roman" w:eastAsia="Times New Roman" w:hAnsi="Times New Roman" w:cs="Times New Roman"/>
          <w:sz w:val="24"/>
        </w:rPr>
      </w:pPr>
      <w:r w:rsidRPr="00E75558">
        <w:rPr>
          <w:rFonts w:ascii="Times New Roman" w:eastAsia="Times New Roman" w:hAnsi="Times New Roman" w:cs="Times New Roman"/>
          <w:color w:val="auto"/>
          <w:sz w:val="24"/>
          <w:szCs w:val="24"/>
        </w:rPr>
        <w:t xml:space="preserve">Hence, despite the centrality of the commercial logic in for-profit organizations, a social welfare logic can also be present in such contexts, either reinforcing profit-oriented goals (high compatibility) or prescribing independent goals (low compatibility). </w:t>
      </w:r>
      <w:r w:rsidRPr="00E75558">
        <w:rPr>
          <w:rFonts w:ascii="Times New Roman" w:eastAsia="Times New Roman" w:hAnsi="Times New Roman" w:cs="Times New Roman"/>
          <w:sz w:val="24"/>
        </w:rPr>
        <w:t>Nestlé’s work in building a milk factory in the Indian district of Moga exemplifies a case of high compatibility between the commercial and the social welfare logics. Nestlé needed a large supply of quality milk from small dairy farmers, who lived in conditions of severe poverty that limited the viability of the</w:t>
      </w:r>
      <w:r>
        <w:rPr>
          <w:rFonts w:ascii="Times New Roman" w:eastAsia="Times New Roman" w:hAnsi="Times New Roman" w:cs="Times New Roman"/>
          <w:sz w:val="24"/>
        </w:rPr>
        <w:t>ir</w:t>
      </w:r>
      <w:r w:rsidRPr="00E75558">
        <w:rPr>
          <w:rFonts w:ascii="Times New Roman" w:eastAsia="Times New Roman" w:hAnsi="Times New Roman" w:cs="Times New Roman"/>
          <w:sz w:val="24"/>
        </w:rPr>
        <w:t xml:space="preserve"> business. </w:t>
      </w:r>
      <w:r>
        <w:rPr>
          <w:rFonts w:ascii="Times New Roman" w:eastAsia="Times New Roman" w:hAnsi="Times New Roman" w:cs="Times New Roman"/>
          <w:sz w:val="24"/>
        </w:rPr>
        <w:t>In this context t</w:t>
      </w:r>
      <w:r w:rsidRPr="00E75558">
        <w:rPr>
          <w:rFonts w:ascii="Times New Roman" w:eastAsia="Times New Roman" w:hAnsi="Times New Roman" w:cs="Times New Roman"/>
          <w:sz w:val="24"/>
        </w:rPr>
        <w:t xml:space="preserve">he company established a series of initiatives around training, logistics, and technology adoption, which resulted in substantial improvements in </w:t>
      </w:r>
      <w:r w:rsidR="00A703E2">
        <w:rPr>
          <w:rFonts w:ascii="Times New Roman" w:eastAsia="Times New Roman" w:hAnsi="Times New Roman" w:cs="Times New Roman"/>
          <w:sz w:val="24"/>
        </w:rPr>
        <w:t>Moga</w:t>
      </w:r>
      <w:r>
        <w:rPr>
          <w:rFonts w:ascii="Times New Roman" w:eastAsia="Times New Roman" w:hAnsi="Times New Roman" w:cs="Times New Roman"/>
          <w:sz w:val="24"/>
        </w:rPr>
        <w:t xml:space="preserve">’s </w:t>
      </w:r>
      <w:r w:rsidRPr="00E75558">
        <w:rPr>
          <w:rFonts w:ascii="Times New Roman" w:eastAsia="Times New Roman" w:hAnsi="Times New Roman" w:cs="Times New Roman"/>
          <w:sz w:val="24"/>
        </w:rPr>
        <w:t xml:space="preserve">standard of living (Porter and Kramer, 2006). In this case, compatibility is high because the social welfare logic that promoted the enhancement of living conditions in Moga was consistent with Nestlé’s need of establishing a competitive business, thus enhancing the goals of its commercial logic (Besharov and Smith, 2014). In </w:t>
      </w:r>
      <w:r>
        <w:rPr>
          <w:rFonts w:ascii="Times New Roman" w:eastAsia="Times New Roman" w:hAnsi="Times New Roman" w:cs="Times New Roman"/>
          <w:sz w:val="24"/>
        </w:rPr>
        <w:t>contrast</w:t>
      </w:r>
      <w:r w:rsidRPr="00E75558">
        <w:rPr>
          <w:rFonts w:ascii="Times New Roman" w:eastAsia="Times New Roman" w:hAnsi="Times New Roman" w:cs="Times New Roman"/>
          <w:sz w:val="24"/>
        </w:rPr>
        <w:t xml:space="preserve">, Daimler’s cooperation with competitors and environmentally friendly technology companies </w:t>
      </w:r>
      <w:r>
        <w:rPr>
          <w:rFonts w:ascii="Times New Roman" w:eastAsia="Times New Roman" w:hAnsi="Times New Roman" w:cs="Times New Roman"/>
          <w:sz w:val="24"/>
        </w:rPr>
        <w:t>is</w:t>
      </w:r>
      <w:r w:rsidRPr="00E75558">
        <w:rPr>
          <w:rFonts w:ascii="Times New Roman" w:eastAsia="Times New Roman" w:hAnsi="Times New Roman" w:cs="Times New Roman"/>
          <w:sz w:val="24"/>
        </w:rPr>
        <w:t xml:space="preserve"> a case of low compatibility between the commercial and the social welfare logics. Jointly with Volkswagen, the company established collaborations with Choren industries to develop biofuels, and jointly with Ford, it partnered with Ballard to develop fuel cell technology (Pinkse and Kolk, 2010). In this case, compatibility is low because the social welfare logic that promoted the investment in environmentally efficient technologies required cooperation with close competitors, meaning that Daimler would not directly obtain competitive advantages from such initiatives, or contribute to the goals of a short-term commercial logic.</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sz w:val="24"/>
        </w:rPr>
        <w:t xml:space="preserve">In summary, </w:t>
      </w:r>
      <w:r w:rsidRPr="00E75558">
        <w:rPr>
          <w:rFonts w:ascii="Times New Roman" w:eastAsia="Times New Roman" w:hAnsi="Times New Roman" w:cs="Times New Roman"/>
          <w:color w:val="auto"/>
          <w:sz w:val="24"/>
          <w:szCs w:val="24"/>
        </w:rPr>
        <w:t xml:space="preserve">by accounting for the different degrees </w:t>
      </w:r>
      <w:r>
        <w:rPr>
          <w:rFonts w:ascii="Times New Roman" w:eastAsia="Times New Roman" w:hAnsi="Times New Roman" w:cs="Times New Roman"/>
          <w:color w:val="auto"/>
          <w:sz w:val="24"/>
          <w:szCs w:val="24"/>
        </w:rPr>
        <w:t>to</w:t>
      </w:r>
      <w:r w:rsidRPr="00E75558">
        <w:rPr>
          <w:rFonts w:ascii="Times New Roman" w:eastAsia="Times New Roman" w:hAnsi="Times New Roman" w:cs="Times New Roman"/>
          <w:color w:val="auto"/>
          <w:sz w:val="24"/>
          <w:szCs w:val="24"/>
        </w:rPr>
        <w:t xml:space="preserve"> which the commercial and social welfare logic</w:t>
      </w:r>
      <w:r>
        <w:rPr>
          <w:rFonts w:ascii="Times New Roman" w:eastAsia="Times New Roman" w:hAnsi="Times New Roman" w:cs="Times New Roman"/>
          <w:color w:val="auto"/>
          <w:sz w:val="24"/>
          <w:szCs w:val="24"/>
        </w:rPr>
        <w:t>s</w:t>
      </w:r>
      <w:r w:rsidRPr="00E75558">
        <w:rPr>
          <w:rFonts w:ascii="Times New Roman" w:eastAsia="Times New Roman" w:hAnsi="Times New Roman" w:cs="Times New Roman"/>
          <w:color w:val="auto"/>
          <w:sz w:val="24"/>
          <w:szCs w:val="24"/>
        </w:rPr>
        <w:t xml:space="preserve"> may be compatible in for-profit organizations, we can understand when selling success will depend on whether the solutions advanced by sellers reinforce economic values. This understanding, however, is incomplete without attention to how targets shape the efforts of social issue sellers.</w:t>
      </w:r>
    </w:p>
    <w:p w:rsidR="00FF2A8D" w:rsidRPr="00E75558" w:rsidRDefault="00FF2A8D" w:rsidP="00FF2A8D">
      <w:pPr>
        <w:pStyle w:val="Normal1"/>
        <w:spacing w:line="480" w:lineRule="auto"/>
        <w:rPr>
          <w:rFonts w:ascii="Times New Roman" w:eastAsia="Times New Roman" w:hAnsi="Times New Roman" w:cs="Times New Roman"/>
          <w:b/>
          <w:color w:val="9BBB59"/>
          <w:sz w:val="24"/>
          <w:szCs w:val="24"/>
        </w:rPr>
      </w:pPr>
      <w:r w:rsidRPr="00E75558">
        <w:rPr>
          <w:rFonts w:ascii="Times New Roman" w:eastAsia="Times New Roman" w:hAnsi="Times New Roman" w:cs="Times New Roman"/>
          <w:b/>
          <w:color w:val="auto"/>
          <w:sz w:val="24"/>
          <w:szCs w:val="24"/>
        </w:rPr>
        <w:t>Understanding targets for social issue selling</w:t>
      </w:r>
    </w:p>
    <w:p w:rsidR="00FF2A8D" w:rsidRPr="00E75558" w:rsidRDefault="00FF2A8D" w:rsidP="00FF2A8D">
      <w:pPr>
        <w:pStyle w:val="Normal1"/>
        <w:spacing w:line="480" w:lineRule="auto"/>
        <w:ind w:firstLine="720"/>
        <w:rPr>
          <w:rFonts w:ascii="Times New Roman" w:hAnsi="Times New Roman"/>
          <w:sz w:val="24"/>
          <w:szCs w:val="26"/>
        </w:rPr>
      </w:pPr>
      <w:r w:rsidRPr="00E75558">
        <w:rPr>
          <w:rFonts w:ascii="Times New Roman" w:eastAsia="Times New Roman" w:hAnsi="Times New Roman" w:cs="Times New Roman"/>
          <w:color w:val="auto"/>
          <w:sz w:val="24"/>
          <w:szCs w:val="24"/>
        </w:rPr>
        <w:t xml:space="preserve">Relational knowledge, which involves “both a sense of whom to involve and a sense of how to motivate their involvement” (Dutton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2001, p. 727), is a critical factor for issue sellers. Studies in environmental issue selling, for example, suggest that </w:t>
      </w:r>
      <w:r w:rsidRPr="00E75558">
        <w:rPr>
          <w:rFonts w:ascii="Times New Roman" w:hAnsi="Times New Roman" w:cs="Times New Roman"/>
          <w:sz w:val="24"/>
          <w:szCs w:val="26"/>
        </w:rPr>
        <w:t xml:space="preserve">successful sellers are skilled in adjusting and </w:t>
      </w:r>
      <w:r w:rsidRPr="00E75558">
        <w:rPr>
          <w:rFonts w:ascii="Times New Roman" w:eastAsia="Times New Roman" w:hAnsi="Times New Roman" w:cs="Times New Roman"/>
          <w:color w:val="auto"/>
          <w:sz w:val="24"/>
          <w:szCs w:val="24"/>
        </w:rPr>
        <w:t xml:space="preserve">appealing to the knowledge, values, and beliefs of targets (Bansal, 2003; Gattiker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2014; Howard-Grenville, 2007). More specifically, Sonenshein (2006) </w:t>
      </w:r>
      <w:r w:rsidRPr="00E75558">
        <w:rPr>
          <w:rFonts w:ascii="Times New Roman" w:hAnsi="Times New Roman"/>
          <w:sz w:val="24"/>
          <w:szCs w:val="26"/>
        </w:rPr>
        <w:t>considered how the power of targets shaped public justifications of social issues, suggesting that sellers use economic language to compensate for lack of power. However, we argue that two factors limit our understanding of how sellers and targets interact in social issue selling.</w:t>
      </w:r>
    </w:p>
    <w:p w:rsidR="00FF2A8D" w:rsidRPr="00E75558" w:rsidRDefault="00FF2A8D" w:rsidP="00FF2A8D">
      <w:pPr>
        <w:pStyle w:val="Normal1"/>
        <w:spacing w:line="480" w:lineRule="auto"/>
        <w:ind w:firstLine="720"/>
        <w:rPr>
          <w:rFonts w:ascii="Times New Roman" w:hAnsi="Times New Roman"/>
          <w:sz w:val="24"/>
          <w:szCs w:val="26"/>
        </w:rPr>
      </w:pPr>
      <w:r w:rsidRPr="00E75558">
        <w:rPr>
          <w:rFonts w:ascii="Times New Roman" w:hAnsi="Times New Roman"/>
          <w:sz w:val="24"/>
          <w:szCs w:val="26"/>
        </w:rPr>
        <w:t xml:space="preserve">First, the notion of power does not fully capture the target’s meaning system and its potential effect on the public justifications of sellers. Bansal’s (2003) findings are again particularly relevant to our argument. By identifying that responses to issues </w:t>
      </w:r>
      <w:r w:rsidRPr="00E75558">
        <w:rPr>
          <w:rFonts w:ascii="Times New Roman" w:hAnsi="Times New Roman" w:cs="Times New Roman"/>
          <w:sz w:val="24"/>
          <w:szCs w:val="26"/>
        </w:rPr>
        <w:t xml:space="preserve">could be either </w:t>
      </w:r>
      <w:r w:rsidRPr="00E75558">
        <w:rPr>
          <w:rFonts w:ascii="Times New Roman" w:hAnsi="Times New Roman" w:cs="Times New Roman"/>
          <w:bCs/>
          <w:sz w:val="24"/>
          <w:szCs w:val="26"/>
        </w:rPr>
        <w:t>individual or organizational, s</w:t>
      </w:r>
      <w:r w:rsidRPr="00E75558">
        <w:rPr>
          <w:rFonts w:ascii="Times New Roman" w:hAnsi="Times New Roman"/>
          <w:sz w:val="24"/>
          <w:szCs w:val="26"/>
        </w:rPr>
        <w:t xml:space="preserve">he pointed to “the opportunity for issue sellers to use issue characteristics that generate concern among colleagues” (Bansal, 2003, p. 524), or targets. We suggest that when sellers choose how to motivate targets, accounting for the target’s level of adherence to the social welfare logic is important, as low levels of adherence may or may not coincide with high levels of power. Furthermore, targets may have mixed reasons to support issues, involving both normative and economic aspects. </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hAnsi="Times New Roman"/>
          <w:sz w:val="24"/>
          <w:szCs w:val="26"/>
        </w:rPr>
        <w:t xml:space="preserve">Second, while considering the ability of change agents is important to explain selling success, equally important is considering how targets respond to issues (Howard-Grenville, 2007; Sonenshein, 2006), as </w:t>
      </w:r>
      <w:r w:rsidRPr="00E75558">
        <w:rPr>
          <w:rFonts w:ascii="Times New Roman" w:eastAsia="Times New Roman" w:hAnsi="Times New Roman" w:cs="Times New Roman"/>
          <w:color w:val="auto"/>
          <w:sz w:val="24"/>
          <w:szCs w:val="24"/>
        </w:rPr>
        <w:t xml:space="preserve">targets’ individual responses may promote or preclude organizational-level responses. </w:t>
      </w:r>
      <w:r w:rsidRPr="00E75558">
        <w:rPr>
          <w:rFonts w:ascii="Times New Roman" w:hAnsi="Times New Roman"/>
          <w:sz w:val="24"/>
          <w:szCs w:val="26"/>
        </w:rPr>
        <w:t xml:space="preserve">We argue that </w:t>
      </w:r>
      <w:r>
        <w:rPr>
          <w:rFonts w:ascii="Times New Roman" w:hAnsi="Times New Roman"/>
          <w:sz w:val="24"/>
          <w:szCs w:val="26"/>
        </w:rPr>
        <w:t>one</w:t>
      </w:r>
      <w:r w:rsidRPr="00E75558">
        <w:rPr>
          <w:rFonts w:ascii="Times New Roman" w:hAnsi="Times New Roman"/>
          <w:sz w:val="24"/>
          <w:szCs w:val="26"/>
        </w:rPr>
        <w:t xml:space="preserve"> important response to issue selling is the legitimacy judgment of the target (Bitektine and Haack, 2015; Tost, 2011). Legitimacy judgments represent “individual’s judgments of the extent to which an entity is appropriate for its social context” (Tost, 2011, p. 689), and are key antecedents of support to change efforts (Suchman, 1995; Tost, 2011). </w:t>
      </w:r>
      <w:r w:rsidRPr="00E75558">
        <w:rPr>
          <w:rFonts w:ascii="Times New Roman" w:eastAsia="Times New Roman" w:hAnsi="Times New Roman" w:cs="Times New Roman"/>
          <w:color w:val="auto"/>
          <w:sz w:val="24"/>
          <w:szCs w:val="24"/>
        </w:rPr>
        <w:t>Hence, giving consideration to the legitimacy judgments of selling targets is important if we are to depict a more symmetrical model of meaning construction, in which selling and buying are joint activities (Goffman, 1981; Tannen, 1985). Similar to sellers, targets also have private reasons (Sonenshein, 2006)</w:t>
      </w:r>
      <w:r w:rsidR="00107572">
        <w:rPr>
          <w:rFonts w:ascii="Times New Roman" w:eastAsia="Times New Roman" w:hAnsi="Times New Roman" w:cs="Times New Roman"/>
          <w:color w:val="auto"/>
          <w:sz w:val="24"/>
          <w:szCs w:val="24"/>
        </w:rPr>
        <w:t xml:space="preserve">, </w:t>
      </w:r>
      <w:r w:rsidRPr="00E75558">
        <w:rPr>
          <w:rFonts w:ascii="Times New Roman" w:eastAsia="Times New Roman" w:hAnsi="Times New Roman" w:cs="Times New Roman"/>
          <w:color w:val="auto"/>
          <w:sz w:val="24"/>
          <w:szCs w:val="24"/>
        </w:rPr>
        <w:t>and are active agents (Cornelissen and Werner, 2014) in the selling process.</w:t>
      </w:r>
    </w:p>
    <w:p w:rsidR="004F5261"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sz w:val="24"/>
        </w:rPr>
        <w:t xml:space="preserve">In summary, because the success of issue selling hinges on both individual and organizational responses, we argue that social issue sellers must </w:t>
      </w:r>
      <w:r w:rsidRPr="00E75558">
        <w:rPr>
          <w:rFonts w:ascii="Times New Roman" w:hAnsi="Times New Roman"/>
          <w:color w:val="auto"/>
          <w:sz w:val="24"/>
        </w:rPr>
        <w:t xml:space="preserve">reconcile knowledge of commercial and social welfare logics enacted in organizations and by targets. To unpack how </w:t>
      </w:r>
      <w:r w:rsidRPr="00E75558">
        <w:rPr>
          <w:rFonts w:ascii="Times New Roman" w:eastAsia="Times New Roman" w:hAnsi="Times New Roman" w:cs="Times New Roman"/>
          <w:color w:val="auto"/>
          <w:sz w:val="24"/>
          <w:szCs w:val="24"/>
        </w:rPr>
        <w:t xml:space="preserve">individuals can work with context and target signals, and connect with meaning systems at both levels, we draw on the framing perspective in social movements (Snow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2014) to enrich explanations of social issue selling.</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p>
    <w:p w:rsidR="00FF2A8D" w:rsidRPr="00E75558" w:rsidRDefault="00FF2A8D" w:rsidP="00FF2A8D">
      <w:pPr>
        <w:pStyle w:val="Normal1"/>
        <w:spacing w:line="480" w:lineRule="auto"/>
        <w:rPr>
          <w:rFonts w:ascii="Times New Roman" w:eastAsia="Times New Roman" w:hAnsi="Times New Roman" w:cs="Times New Roman"/>
          <w:b/>
          <w:color w:val="auto"/>
          <w:sz w:val="24"/>
          <w:szCs w:val="24"/>
        </w:rPr>
      </w:pPr>
      <w:r w:rsidRPr="00E75558">
        <w:rPr>
          <w:rFonts w:ascii="Times New Roman" w:eastAsia="Times New Roman" w:hAnsi="Times New Roman" w:cs="Times New Roman"/>
          <w:b/>
          <w:color w:val="auto"/>
          <w:sz w:val="24"/>
          <w:szCs w:val="24"/>
        </w:rPr>
        <w:t>Social movements, framing, and social issue selling</w:t>
      </w:r>
    </w:p>
    <w:p w:rsidR="00FF2A8D" w:rsidRPr="00E75558" w:rsidRDefault="00FF2A8D" w:rsidP="00FF2A8D">
      <w:pPr>
        <w:pStyle w:val="Normal1"/>
        <w:spacing w:line="480" w:lineRule="auto"/>
        <w:ind w:firstLine="720"/>
        <w:rPr>
          <w:rFonts w:ascii="Times New Roman" w:hAnsi="Times New Roman" w:cs="Times New Roman"/>
          <w:color w:val="auto"/>
          <w:sz w:val="24"/>
          <w:szCs w:val="24"/>
          <w:lang w:val="en-GB"/>
        </w:rPr>
      </w:pPr>
      <w:r w:rsidRPr="00E75558">
        <w:rPr>
          <w:rFonts w:ascii="Times New Roman" w:eastAsia="Times New Roman" w:hAnsi="Times New Roman" w:cs="Times New Roman"/>
          <w:color w:val="auto"/>
          <w:sz w:val="24"/>
          <w:szCs w:val="24"/>
        </w:rPr>
        <w:t xml:space="preserve">We suggest that </w:t>
      </w:r>
      <w:r>
        <w:rPr>
          <w:rFonts w:ascii="Times New Roman" w:eastAsia="Times New Roman" w:hAnsi="Times New Roman" w:cs="Times New Roman"/>
          <w:color w:val="auto"/>
          <w:sz w:val="24"/>
          <w:szCs w:val="24"/>
        </w:rPr>
        <w:t xml:space="preserve">issue selling, </w:t>
      </w:r>
      <w:r w:rsidRPr="00E75558">
        <w:rPr>
          <w:rFonts w:ascii="Times New Roman" w:eastAsia="Times New Roman" w:hAnsi="Times New Roman" w:cs="Times New Roman"/>
          <w:color w:val="auto"/>
          <w:sz w:val="24"/>
          <w:szCs w:val="24"/>
        </w:rPr>
        <w:t xml:space="preserve">as a process of bottom-up </w:t>
      </w:r>
      <w:r w:rsidRPr="00E75558">
        <w:rPr>
          <w:rFonts w:ascii="Times New Roman" w:hAnsi="Times New Roman" w:cs="Times New Roman"/>
          <w:color w:val="auto"/>
          <w:sz w:val="24"/>
          <w:szCs w:val="24"/>
        </w:rPr>
        <w:t xml:space="preserve">intra-organizational mobilization that seeks to effect change in organizations, can be examined through the lens of social movements (Creed </w:t>
      </w:r>
      <w:r w:rsidRPr="002A2443">
        <w:rPr>
          <w:rFonts w:ascii="Times New Roman" w:hAnsi="Times New Roman" w:cs="Times New Roman"/>
          <w:i/>
          <w:color w:val="auto"/>
          <w:sz w:val="24"/>
          <w:szCs w:val="24"/>
        </w:rPr>
        <w:t>et al.</w:t>
      </w:r>
      <w:r w:rsidRPr="00E75558">
        <w:rPr>
          <w:rFonts w:ascii="Times New Roman" w:hAnsi="Times New Roman" w:cs="Times New Roman"/>
          <w:color w:val="auto"/>
          <w:sz w:val="24"/>
          <w:szCs w:val="24"/>
        </w:rPr>
        <w:t>, 2002</w:t>
      </w:r>
      <w:r>
        <w:rPr>
          <w:rFonts w:ascii="Times New Roman" w:hAnsi="Times New Roman" w:cs="Times New Roman"/>
          <w:color w:val="auto"/>
          <w:sz w:val="24"/>
          <w:szCs w:val="24"/>
        </w:rPr>
        <w:t>a</w:t>
      </w:r>
      <w:r w:rsidRPr="00E75558">
        <w:rPr>
          <w:rFonts w:ascii="Times New Roman" w:hAnsi="Times New Roman" w:cs="Times New Roman"/>
          <w:color w:val="auto"/>
          <w:sz w:val="24"/>
          <w:szCs w:val="24"/>
        </w:rPr>
        <w:t>; Kellogg, 2012; Scully and Segal, 2002; Zald and Berger, 1978)</w:t>
      </w:r>
      <w:r w:rsidRPr="00E75558">
        <w:rPr>
          <w:rFonts w:ascii="Times New Roman" w:eastAsia="Times New Roman" w:hAnsi="Times New Roman" w:cs="Times New Roman"/>
          <w:color w:val="auto"/>
          <w:sz w:val="24"/>
          <w:szCs w:val="24"/>
        </w:rPr>
        <w:t xml:space="preserve">. As </w:t>
      </w:r>
      <w:r w:rsidRPr="00E75558">
        <w:rPr>
          <w:rFonts w:ascii="Times New Roman" w:hAnsi="Times New Roman" w:cs="Times New Roman"/>
          <w:color w:val="auto"/>
          <w:sz w:val="24"/>
          <w:szCs w:val="24"/>
        </w:rPr>
        <w:t xml:space="preserve">Davis and Zald (2005, p. 349) suggest, </w:t>
      </w:r>
      <w:r w:rsidRPr="00E75558">
        <w:rPr>
          <w:rFonts w:ascii="Times New Roman" w:hAnsi="Times New Roman" w:cs="Times New Roman"/>
          <w:color w:val="auto"/>
          <w:sz w:val="24"/>
          <w:szCs w:val="24"/>
          <w:lang w:val="en-GB"/>
        </w:rPr>
        <w:t>“the basic dynamics of collective action are common across movements and organizations”</w:t>
      </w:r>
      <w:r w:rsidR="00675BFC">
        <w:rPr>
          <w:rFonts w:ascii="Times New Roman" w:hAnsi="Times New Roman" w:cs="Times New Roman"/>
          <w:color w:val="auto"/>
          <w:sz w:val="24"/>
          <w:szCs w:val="24"/>
          <w:lang w:val="en-GB"/>
        </w:rPr>
        <w:t>,</w:t>
      </w:r>
      <w:r w:rsidRPr="00E75558">
        <w:rPr>
          <w:rFonts w:ascii="Times New Roman" w:hAnsi="Times New Roman" w:cs="Times New Roman"/>
          <w:color w:val="auto"/>
          <w:sz w:val="24"/>
          <w:szCs w:val="24"/>
          <w:lang w:val="en-GB"/>
        </w:rPr>
        <w:t xml:space="preserve"> in particular at the level of mechanisms. </w:t>
      </w:r>
      <w:r>
        <w:rPr>
          <w:rFonts w:ascii="Times New Roman" w:hAnsi="Times New Roman" w:cs="Times New Roman"/>
          <w:color w:val="auto"/>
          <w:sz w:val="24"/>
          <w:szCs w:val="24"/>
          <w:lang w:val="en-GB"/>
        </w:rPr>
        <w:t>Here</w:t>
      </w:r>
      <w:r w:rsidRPr="00E75558">
        <w:rPr>
          <w:rFonts w:ascii="Times New Roman" w:hAnsi="Times New Roman" w:cs="Times New Roman"/>
          <w:color w:val="auto"/>
          <w:sz w:val="24"/>
          <w:szCs w:val="24"/>
          <w:lang w:val="en-GB"/>
        </w:rPr>
        <w:t>, we draw on the theory of framing processes in social movements to expand our understanding of framing mechanisms in issue selling.</w:t>
      </w:r>
    </w:p>
    <w:p w:rsidR="00FF2A8D" w:rsidRPr="00E75558" w:rsidRDefault="00FF2A8D" w:rsidP="00FF2A8D">
      <w:pPr>
        <w:pStyle w:val="Normal1"/>
        <w:spacing w:line="480" w:lineRule="auto"/>
        <w:ind w:firstLine="720"/>
        <w:rPr>
          <w:rFonts w:ascii="Times New Roman" w:hAnsi="Times New Roman" w:cs="Times New Roman"/>
          <w:color w:val="auto"/>
          <w:sz w:val="24"/>
          <w:szCs w:val="24"/>
          <w:lang w:val="en-GB"/>
        </w:rPr>
      </w:pPr>
      <w:r w:rsidRPr="00E75558">
        <w:rPr>
          <w:rFonts w:ascii="Times New Roman" w:eastAsia="Times New Roman" w:hAnsi="Times New Roman" w:cs="Times New Roman"/>
          <w:sz w:val="24"/>
        </w:rPr>
        <w:t xml:space="preserve">Issue framing is a core </w:t>
      </w:r>
      <w:r>
        <w:rPr>
          <w:rFonts w:ascii="Times New Roman" w:eastAsia="Times New Roman" w:hAnsi="Times New Roman" w:cs="Times New Roman"/>
          <w:sz w:val="24"/>
        </w:rPr>
        <w:t>component</w:t>
      </w:r>
      <w:r w:rsidRPr="00E75558">
        <w:rPr>
          <w:rFonts w:ascii="Times New Roman" w:eastAsia="Times New Roman" w:hAnsi="Times New Roman" w:cs="Times New Roman"/>
          <w:sz w:val="24"/>
        </w:rPr>
        <w:t xml:space="preserve"> of the issue selling process (Dutton and Ashford, 1993). As conceived in this literature, framing is a discursive tactic that, subject to the ability of sellers, </w:t>
      </w:r>
      <w:r>
        <w:rPr>
          <w:rFonts w:ascii="Times New Roman" w:eastAsia="Times New Roman" w:hAnsi="Times New Roman" w:cs="Times New Roman"/>
          <w:sz w:val="24"/>
        </w:rPr>
        <w:t>increases</w:t>
      </w:r>
      <w:r w:rsidRPr="00E75558">
        <w:rPr>
          <w:rFonts w:ascii="Times New Roman" w:eastAsia="Times New Roman" w:hAnsi="Times New Roman" w:cs="Times New Roman"/>
          <w:sz w:val="24"/>
        </w:rPr>
        <w:t xml:space="preserve"> attention and support to issues. In contrast, in the broader framing literature, and in line with the social movements’ perspective, framing processes are conceived as </w:t>
      </w:r>
      <w:r w:rsidRPr="00E75558">
        <w:rPr>
          <w:rFonts w:ascii="Times New Roman" w:eastAsia="Times New Roman" w:hAnsi="Times New Roman" w:cs="Times New Roman"/>
          <w:color w:val="auto"/>
          <w:sz w:val="24"/>
          <w:szCs w:val="24"/>
        </w:rPr>
        <w:t xml:space="preserve">“the active social construction and negotiation of frame-based meanings” (Cornelissen and Werner, 2014, p. 196). In addition, framing processes </w:t>
      </w:r>
      <w:r w:rsidRPr="00E75558">
        <w:rPr>
          <w:rFonts w:ascii="Times New Roman" w:eastAsia="Times New Roman" w:hAnsi="Times New Roman" w:cs="Times New Roman"/>
          <w:sz w:val="24"/>
        </w:rPr>
        <w:t xml:space="preserve">include not only discursive, but also ideational elements (Snow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This view of framing illuminates the selling processes in two important ways. First, it enables understanding of framing beyond its ‘packaging’ or discursive dimension by giving consideration to the framing of solutions. Second, it accounts not only for the selling, but also </w:t>
      </w:r>
      <w:r>
        <w:rPr>
          <w:rFonts w:ascii="Times New Roman" w:eastAsia="Times New Roman" w:hAnsi="Times New Roman" w:cs="Times New Roman"/>
          <w:sz w:val="24"/>
        </w:rPr>
        <w:t xml:space="preserve">for </w:t>
      </w:r>
      <w:r w:rsidRPr="00E75558">
        <w:rPr>
          <w:rFonts w:ascii="Times New Roman" w:eastAsia="Times New Roman" w:hAnsi="Times New Roman" w:cs="Times New Roman"/>
          <w:sz w:val="24"/>
        </w:rPr>
        <w:t>the buying of ideas (Barnett, 2008), characterizing selling as a conversation that happens as sellers and targets interact and create, negotiate</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or contest meanings (Cornelissen and Werner, 2014; Kaplan, 2008).</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Specifically, social movement literature examines how activists collectively construct action frames by means of core framing tasks </w:t>
      </w:r>
      <w:r>
        <w:rPr>
          <w:rFonts w:ascii="Times New Roman" w:eastAsia="Times New Roman" w:hAnsi="Times New Roman" w:cs="Times New Roman"/>
          <w:color w:val="auto"/>
          <w:sz w:val="24"/>
          <w:szCs w:val="24"/>
        </w:rPr>
        <w:t>and</w:t>
      </w:r>
      <w:r w:rsidRPr="00E75558">
        <w:rPr>
          <w:rFonts w:ascii="Times New Roman" w:eastAsia="Times New Roman" w:hAnsi="Times New Roman" w:cs="Times New Roman"/>
          <w:color w:val="auto"/>
          <w:sz w:val="24"/>
          <w:szCs w:val="24"/>
        </w:rPr>
        <w:t xml:space="preserve"> frame alignment processes (Benford and Snow, 2000; Snow and Benford, 1988; Snow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1986). By engaging the tasks of identifying problems (diagnostic framing), developing solutions (prognostic framing), and seeking to motivate others to take part (motivational framing), activists construct and negotiate meaning with their targets in attempts to mobilize action. These framing tasks are accompanied by one or more frame alignment processes, which, as Snow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(1986) define, may include bridging (enlisting support outside the focal organization), amplification (invigorating existing values and beliefs), extension (including other issues and concerns of relevance to targets), and transformation (nurturing new meanings and discarding old ones).</w:t>
      </w:r>
    </w:p>
    <w:p w:rsidR="00FF2A8D" w:rsidRPr="00E75558" w:rsidRDefault="00FF2A8D" w:rsidP="00FF2A8D">
      <w:pPr>
        <w:pStyle w:val="Normal1"/>
        <w:spacing w:line="480" w:lineRule="auto"/>
        <w:ind w:firstLine="720"/>
        <w:rPr>
          <w:rFonts w:ascii="Times New Roman" w:eastAsia="Times New Roman" w:hAnsi="Times New Roman" w:cs="Times New Roman"/>
          <w:sz w:val="24"/>
        </w:rPr>
      </w:pPr>
      <w:r w:rsidRPr="00E75558">
        <w:rPr>
          <w:rFonts w:ascii="Times New Roman" w:eastAsia="Times New Roman" w:hAnsi="Times New Roman" w:cs="Times New Roman"/>
          <w:sz w:val="24"/>
        </w:rPr>
        <w:t xml:space="preserve">We suggest that, in for-profit organizations, the social issue selling process can be better understood by unpacking framing into prognostic and motivational tasks that align meanings </w:t>
      </w:r>
      <w:r>
        <w:rPr>
          <w:rFonts w:ascii="Times New Roman" w:eastAsia="Times New Roman" w:hAnsi="Times New Roman" w:cs="Times New Roman"/>
          <w:sz w:val="24"/>
        </w:rPr>
        <w:t>among</w:t>
      </w:r>
      <w:r w:rsidRPr="00E75558">
        <w:rPr>
          <w:rFonts w:ascii="Times New Roman" w:eastAsia="Times New Roman" w:hAnsi="Times New Roman" w:cs="Times New Roman"/>
          <w:sz w:val="24"/>
        </w:rPr>
        <w:t xml:space="preserve"> sellers, targets, and organizations. While we acknowledge that diagnostic, prognostic, and motivational framing tasks are interrelated, we work with the assumption that social issue sellers leverage diagnostic frames available in society (Battilana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2009). Hence, we focus on prognostic and motivational framing as the tasks that present and promote visions for change inside organizations (Battilana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2009). </w:t>
      </w:r>
      <w:r w:rsidRPr="00E75558">
        <w:rPr>
          <w:rFonts w:ascii="Times New Roman" w:eastAsia="Times New Roman" w:hAnsi="Times New Roman" w:cs="Times New Roman"/>
          <w:color w:val="auto"/>
          <w:sz w:val="24"/>
          <w:szCs w:val="24"/>
        </w:rPr>
        <w:t xml:space="preserve">In our alternative view of the social issue selling process, we propose that </w:t>
      </w:r>
      <w:r w:rsidRPr="00E75558">
        <w:rPr>
          <w:rFonts w:ascii="Times New Roman" w:eastAsia="Times New Roman" w:hAnsi="Times New Roman" w:cs="Times New Roman"/>
          <w:sz w:val="24"/>
        </w:rPr>
        <w:t xml:space="preserve">the solutions and motivations that issue sellers attach to social issues will be legitimated subject to how the commercial and the social welfare logics are enacted </w:t>
      </w:r>
      <w:r w:rsidR="006751BD">
        <w:rPr>
          <w:rFonts w:ascii="Times New Roman" w:eastAsia="Times New Roman" w:hAnsi="Times New Roman" w:cs="Times New Roman"/>
          <w:sz w:val="24"/>
        </w:rPr>
        <w:t>in</w:t>
      </w:r>
      <w:r w:rsidRPr="00E75558">
        <w:rPr>
          <w:rFonts w:ascii="Times New Roman" w:eastAsia="Times New Roman" w:hAnsi="Times New Roman" w:cs="Times New Roman"/>
          <w:sz w:val="24"/>
        </w:rPr>
        <w:t xml:space="preserve"> organizations, as well as </w:t>
      </w:r>
      <w:r>
        <w:rPr>
          <w:rFonts w:ascii="Times New Roman" w:eastAsia="Times New Roman" w:hAnsi="Times New Roman" w:cs="Times New Roman"/>
          <w:sz w:val="24"/>
        </w:rPr>
        <w:t xml:space="preserve">by </w:t>
      </w:r>
      <w:r w:rsidRPr="00E75558">
        <w:rPr>
          <w:rFonts w:ascii="Times New Roman" w:eastAsia="Times New Roman" w:hAnsi="Times New Roman" w:cs="Times New Roman"/>
          <w:sz w:val="24"/>
        </w:rPr>
        <w:t>the targets of selling initiatives (see Figure 1).</w:t>
      </w:r>
    </w:p>
    <w:p w:rsidR="00FF2A8D" w:rsidRPr="00E75558" w:rsidRDefault="00FF2A8D" w:rsidP="00FF2A8D">
      <w:pPr>
        <w:pStyle w:val="Normal1"/>
        <w:spacing w:line="480" w:lineRule="auto"/>
        <w:jc w:val="center"/>
        <w:rPr>
          <w:rFonts w:ascii="Times New Roman" w:hAnsi="Times New Roman"/>
          <w:sz w:val="24"/>
        </w:rPr>
      </w:pPr>
      <w:r w:rsidRPr="00E75558">
        <w:rPr>
          <w:rFonts w:ascii="Times New Roman" w:eastAsia="Times New Roman" w:hAnsi="Times New Roman" w:cs="Times New Roman"/>
          <w:sz w:val="24"/>
        </w:rPr>
        <w:t>---------------------------------------------</w:t>
      </w:r>
    </w:p>
    <w:p w:rsidR="00FF2A8D" w:rsidRPr="00E75558" w:rsidRDefault="00FF2A8D" w:rsidP="00FF2A8D">
      <w:pPr>
        <w:pStyle w:val="Normal1"/>
        <w:spacing w:line="480" w:lineRule="auto"/>
        <w:jc w:val="center"/>
        <w:rPr>
          <w:rFonts w:ascii="Times New Roman" w:hAnsi="Times New Roman"/>
          <w:sz w:val="24"/>
        </w:rPr>
      </w:pPr>
      <w:r w:rsidRPr="00E75558">
        <w:rPr>
          <w:rFonts w:ascii="Times New Roman" w:eastAsia="Times New Roman" w:hAnsi="Times New Roman" w:cs="Times New Roman"/>
          <w:sz w:val="24"/>
        </w:rPr>
        <w:t>INSERT FIGURE 1 ABOUT HERE</w:t>
      </w:r>
    </w:p>
    <w:p w:rsidR="00FF2A8D" w:rsidRPr="00E75558" w:rsidRDefault="00FF2A8D" w:rsidP="00FF2A8D">
      <w:pPr>
        <w:pStyle w:val="Normal1"/>
        <w:spacing w:line="480" w:lineRule="auto"/>
        <w:jc w:val="center"/>
        <w:rPr>
          <w:rFonts w:ascii="Times New Roman" w:hAnsi="Times New Roman"/>
          <w:sz w:val="24"/>
        </w:rPr>
      </w:pPr>
      <w:r w:rsidRPr="00E75558">
        <w:rPr>
          <w:rFonts w:ascii="Times New Roman" w:eastAsia="Times New Roman" w:hAnsi="Times New Roman" w:cs="Times New Roman"/>
          <w:sz w:val="24"/>
        </w:rPr>
        <w:t>---------------------------------------------</w:t>
      </w:r>
    </w:p>
    <w:p w:rsidR="00FF2A8D" w:rsidRPr="00E75558" w:rsidRDefault="00FF2A8D" w:rsidP="00FF2A8D">
      <w:pPr>
        <w:pStyle w:val="Normal1"/>
        <w:spacing w:line="480" w:lineRule="auto"/>
        <w:rPr>
          <w:rFonts w:ascii="Times New Roman" w:eastAsia="Times New Roman" w:hAnsi="Times New Roman" w:cs="Times New Roman"/>
          <w:b/>
          <w:sz w:val="24"/>
        </w:rPr>
      </w:pPr>
      <w:r w:rsidRPr="00E75558">
        <w:rPr>
          <w:rFonts w:ascii="Times New Roman" w:eastAsia="Times New Roman" w:hAnsi="Times New Roman" w:cs="Times New Roman"/>
          <w:b/>
          <w:sz w:val="24"/>
        </w:rPr>
        <w:t>The interplay of core framing tasks and logics in social issue selling</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szCs w:val="24"/>
        </w:rPr>
      </w:pPr>
      <w:r w:rsidRPr="00E75558">
        <w:rPr>
          <w:rFonts w:ascii="Times New Roman" w:eastAsia="Times New Roman" w:hAnsi="Times New Roman" w:cs="Times New Roman"/>
          <w:sz w:val="24"/>
        </w:rPr>
        <w:t>Central to our account of issue selling is the idea that, w</w:t>
      </w:r>
      <w:r w:rsidRPr="00E75558">
        <w:rPr>
          <w:rFonts w:ascii="Times New Roman" w:eastAsia="Times New Roman" w:hAnsi="Times New Roman" w:cs="Times New Roman"/>
          <w:color w:val="auto"/>
          <w:sz w:val="24"/>
          <w:szCs w:val="24"/>
        </w:rPr>
        <w:t xml:space="preserve">hen an individual attempts to sell an issue to top managers or colleagues in a given organization, s/he </w:t>
      </w:r>
      <w:r>
        <w:rPr>
          <w:rFonts w:ascii="Times New Roman" w:eastAsia="Times New Roman" w:hAnsi="Times New Roman" w:cs="Times New Roman"/>
          <w:color w:val="auto"/>
          <w:sz w:val="24"/>
          <w:szCs w:val="24"/>
        </w:rPr>
        <w:t>attempts</w:t>
      </w:r>
      <w:r w:rsidRPr="00E75558">
        <w:rPr>
          <w:rFonts w:ascii="Times New Roman" w:eastAsia="Times New Roman" w:hAnsi="Times New Roman" w:cs="Times New Roman"/>
          <w:color w:val="auto"/>
          <w:sz w:val="24"/>
          <w:szCs w:val="24"/>
        </w:rPr>
        <w:t xml:space="preserve"> to influence the legitimacy judgments of these targets. Whereas legitimacy is a collective phenomenon, legitimacy judgments occur at the individual level, and may differ from collective evaluations (Tost, 2011). Bitektine and Haack (2015) suggest that legitimacy judgments at the individual level are formed via two perceptual inputs: </w:t>
      </w:r>
      <w:r w:rsidRPr="009F210F">
        <w:rPr>
          <w:rFonts w:ascii="Times New Roman" w:eastAsia="Times New Roman" w:hAnsi="Times New Roman" w:cs="Times New Roman"/>
          <w:i/>
          <w:color w:val="auto"/>
          <w:sz w:val="24"/>
          <w:szCs w:val="24"/>
        </w:rPr>
        <w:t>validity beliefs</w:t>
      </w:r>
      <w:r w:rsidRPr="00E75558">
        <w:rPr>
          <w:rFonts w:ascii="Times New Roman" w:eastAsia="Times New Roman" w:hAnsi="Times New Roman" w:cs="Times New Roman"/>
          <w:color w:val="auto"/>
          <w:sz w:val="24"/>
          <w:szCs w:val="24"/>
        </w:rPr>
        <w:t>, which inform whether the focal entity conforms to broader cultural expectations (Tost, 2011), by drawing on perceptions of macro</w:t>
      </w:r>
      <w:r>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szCs w:val="24"/>
        </w:rPr>
        <w:t xml:space="preserve">level validity; and </w:t>
      </w:r>
      <w:r w:rsidRPr="009F210F">
        <w:rPr>
          <w:rFonts w:ascii="Times New Roman" w:eastAsia="Times New Roman" w:hAnsi="Times New Roman" w:cs="Times New Roman"/>
          <w:i/>
          <w:color w:val="auto"/>
          <w:sz w:val="24"/>
          <w:szCs w:val="24"/>
        </w:rPr>
        <w:t>propriety judgments</w:t>
      </w:r>
      <w:r w:rsidRPr="00E75558">
        <w:rPr>
          <w:rFonts w:ascii="Times New Roman" w:eastAsia="Times New Roman" w:hAnsi="Times New Roman" w:cs="Times New Roman"/>
          <w:color w:val="auto"/>
          <w:sz w:val="24"/>
          <w:szCs w:val="24"/>
        </w:rPr>
        <w:t>, which inform whether that entity is congruent with the set of norms selected by evaluators.</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Building on these notions, we suggest that the prognostic framing of a social issue may promote positive validity beliefs about it, subject to the compatibility between the commercial and social welfare logics </w:t>
      </w:r>
      <w:r w:rsidR="00FA13C1">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the</w:t>
      </w:r>
      <w:r w:rsidRPr="00E75558">
        <w:rPr>
          <w:rFonts w:ascii="Times New Roman" w:eastAsia="Times New Roman" w:hAnsi="Times New Roman" w:cs="Times New Roman"/>
          <w:color w:val="auto"/>
          <w:sz w:val="24"/>
          <w:szCs w:val="24"/>
        </w:rPr>
        <w:t xml:space="preserve"> organization. This is because the solutions that result from prognostic framing may increase the resonance of the issue by conveying </w:t>
      </w:r>
      <w:r w:rsidRPr="00E75558">
        <w:rPr>
          <w:rFonts w:ascii="Times New Roman" w:hAnsi="Times New Roman"/>
          <w:color w:val="auto"/>
          <w:sz w:val="24"/>
        </w:rPr>
        <w:t xml:space="preserve">empirical credibility (Benford and Snow, 2000), and thus the </w:t>
      </w:r>
      <w:r w:rsidRPr="00E75558">
        <w:rPr>
          <w:rFonts w:ascii="Times New Roman" w:eastAsia="Times New Roman" w:hAnsi="Times New Roman" w:cs="Times New Roman"/>
          <w:color w:val="auto"/>
          <w:sz w:val="24"/>
          <w:szCs w:val="24"/>
        </w:rPr>
        <w:t xml:space="preserve">feasibility of the issue within the organizational agenda. Implied by this perspective is the idea that selling targets will infer the validity of proposed solutions by assessing their consistency with familiar practices </w:t>
      </w:r>
      <w:r w:rsidRPr="00E75558">
        <w:rPr>
          <w:rFonts w:ascii="Times New Roman" w:hAnsi="Times New Roman"/>
          <w:sz w:val="24"/>
        </w:rPr>
        <w:t xml:space="preserve">(Cornelissen </w:t>
      </w:r>
      <w:r w:rsidRPr="002A2443">
        <w:rPr>
          <w:rFonts w:ascii="Times New Roman" w:hAnsi="Times New Roman"/>
          <w:i/>
          <w:sz w:val="24"/>
        </w:rPr>
        <w:t>et al.</w:t>
      </w:r>
      <w:r w:rsidRPr="00E75558">
        <w:rPr>
          <w:rFonts w:ascii="Times New Roman" w:hAnsi="Times New Roman"/>
          <w:sz w:val="24"/>
        </w:rPr>
        <w:t xml:space="preserve">, 2011; De Clercq </w:t>
      </w:r>
      <w:r w:rsidRPr="002A2443">
        <w:rPr>
          <w:rFonts w:ascii="Times New Roman" w:hAnsi="Times New Roman"/>
          <w:i/>
          <w:sz w:val="24"/>
        </w:rPr>
        <w:t>et al.</w:t>
      </w:r>
      <w:r w:rsidRPr="00E75558">
        <w:rPr>
          <w:rFonts w:ascii="Times New Roman" w:hAnsi="Times New Roman"/>
          <w:sz w:val="24"/>
        </w:rPr>
        <w:t>, 2011)</w:t>
      </w:r>
      <w:r w:rsidRPr="00E75558">
        <w:rPr>
          <w:rFonts w:ascii="Times New Roman" w:eastAsia="Times New Roman" w:hAnsi="Times New Roman" w:cs="Times New Roman"/>
          <w:color w:val="auto"/>
          <w:sz w:val="24"/>
          <w:szCs w:val="24"/>
        </w:rPr>
        <w:t>.</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szCs w:val="24"/>
        </w:rPr>
      </w:pPr>
      <w:r w:rsidRPr="00E75558">
        <w:rPr>
          <w:rFonts w:ascii="Times New Roman" w:eastAsia="Times New Roman" w:hAnsi="Times New Roman" w:cs="Times New Roman"/>
          <w:sz w:val="24"/>
        </w:rPr>
        <w:t xml:space="preserve">Thus, if a given solution to a social issue is characterized by revenue generation or cost reduction, it will likely engender positive validity beliefs in organizations where the compatibility between the commercial and social welfare logics is high. In this scenario, the solution follows the instrumental template typically associated with corporate sustainability initiatives (Carroll and Shabana, 2010; Gao and Bansal, 2013), in which social value creation is justified to the extent that it also contributes to value capture (Santos, 2012), or the </w:t>
      </w:r>
      <w:r w:rsidRPr="00F44945">
        <w:rPr>
          <w:rFonts w:ascii="Times New Roman" w:eastAsia="Times New Roman" w:hAnsi="Times New Roman" w:cs="Times New Roman"/>
          <w:color w:val="auto"/>
          <w:sz w:val="24"/>
        </w:rPr>
        <w:t xml:space="preserve">organization’s bottom line. We refer to these solutions as </w:t>
      </w:r>
      <w:r w:rsidRPr="00F44945">
        <w:rPr>
          <w:rFonts w:ascii="Times New Roman" w:eastAsia="Times New Roman" w:hAnsi="Times New Roman" w:cs="Times New Roman"/>
          <w:i/>
          <w:color w:val="auto"/>
          <w:sz w:val="24"/>
        </w:rPr>
        <w:t>win-win</w:t>
      </w:r>
      <w:r w:rsidRPr="00F44945">
        <w:rPr>
          <w:rFonts w:ascii="Times New Roman" w:eastAsia="Times New Roman" w:hAnsi="Times New Roman" w:cs="Times New Roman"/>
          <w:color w:val="auto"/>
          <w:sz w:val="24"/>
        </w:rPr>
        <w:t xml:space="preserve"> solutions (Elkington, 1994).</w:t>
      </w:r>
      <w:r w:rsidRPr="00E75558">
        <w:rPr>
          <w:rFonts w:ascii="Times New Roman" w:eastAsia="Times New Roman" w:hAnsi="Times New Roman" w:cs="Times New Roman"/>
          <w:sz w:val="24"/>
        </w:rPr>
        <w:t xml:space="preserve"> Hence, positive change may emerge as an outcome of profit seeking, or </w:t>
      </w:r>
      <w:r>
        <w:rPr>
          <w:rFonts w:ascii="Times New Roman" w:eastAsia="Times New Roman" w:hAnsi="Times New Roman" w:cs="Times New Roman"/>
          <w:sz w:val="24"/>
        </w:rPr>
        <w:t xml:space="preserve">as </w:t>
      </w:r>
      <w:r w:rsidRPr="00E75558">
        <w:rPr>
          <w:rFonts w:ascii="Times New Roman" w:eastAsia="Times New Roman" w:hAnsi="Times New Roman" w:cs="Times New Roman"/>
          <w:sz w:val="24"/>
        </w:rPr>
        <w:t>a byproduct of products and services (Gao and Bansal, 2013; Haigh and Hoffman, 2014).</w:t>
      </w:r>
    </w:p>
    <w:p w:rsidR="00FF2A8D" w:rsidRPr="00E75558" w:rsidRDefault="00FF2A8D" w:rsidP="00FF2A8D">
      <w:pPr>
        <w:pStyle w:val="Normal1"/>
        <w:spacing w:line="480" w:lineRule="auto"/>
        <w:ind w:firstLine="400"/>
        <w:rPr>
          <w:rFonts w:ascii="Times New Roman" w:eastAsia="Times New Roman" w:hAnsi="Times New Roman" w:cs="Times New Roman"/>
          <w:sz w:val="24"/>
        </w:rPr>
      </w:pPr>
      <w:r w:rsidRPr="00E75558">
        <w:rPr>
          <w:rFonts w:ascii="Times New Roman" w:eastAsia="Times New Roman" w:hAnsi="Times New Roman" w:cs="Times New Roman"/>
          <w:sz w:val="24"/>
        </w:rPr>
        <w:t xml:space="preserve">Under these circumstances, successful solutions will likely include prescriptions of the social welfare logic that not only </w:t>
      </w:r>
      <w:r>
        <w:rPr>
          <w:rFonts w:ascii="Times New Roman" w:eastAsia="Times New Roman" w:hAnsi="Times New Roman" w:cs="Times New Roman"/>
          <w:sz w:val="24"/>
        </w:rPr>
        <w:t>fail to</w:t>
      </w:r>
      <w:r w:rsidRPr="00E75558">
        <w:rPr>
          <w:rFonts w:ascii="Times New Roman" w:eastAsia="Times New Roman" w:hAnsi="Times New Roman" w:cs="Times New Roman"/>
          <w:sz w:val="24"/>
        </w:rPr>
        <w:t xml:space="preserve"> conflict with the prescriptions of the core commercial logic, but also enhance them. If a given solution presents weak potential for revenue generation or cost reduction, then it is less likely to be legitimated in this scenario. For example, in the microprocessor manufacturing company studied by Howard-Grenville (2007), the environmental specialists </w:t>
      </w:r>
      <w:r>
        <w:rPr>
          <w:rFonts w:ascii="Times New Roman" w:eastAsia="Times New Roman" w:hAnsi="Times New Roman" w:cs="Times New Roman"/>
          <w:sz w:val="24"/>
        </w:rPr>
        <w:t>leading</w:t>
      </w:r>
      <w:r w:rsidRPr="00E75558">
        <w:rPr>
          <w:rFonts w:ascii="Times New Roman" w:eastAsia="Times New Roman" w:hAnsi="Times New Roman" w:cs="Times New Roman"/>
          <w:sz w:val="24"/>
        </w:rPr>
        <w:t xml:space="preserve"> the Blue Skies project successfully sold </w:t>
      </w:r>
      <w:r>
        <w:rPr>
          <w:rFonts w:ascii="Times New Roman" w:eastAsia="Times New Roman" w:hAnsi="Times New Roman" w:cs="Times New Roman"/>
          <w:sz w:val="24"/>
        </w:rPr>
        <w:t>an</w:t>
      </w:r>
      <w:r w:rsidRPr="00E75558">
        <w:rPr>
          <w:rFonts w:ascii="Times New Roman" w:eastAsia="Times New Roman" w:hAnsi="Times New Roman" w:cs="Times New Roman"/>
          <w:sz w:val="24"/>
        </w:rPr>
        <w:t xml:space="preserve"> air emissions solution to the technical team because it represented an opportunity to eliminate a constraint on manufacturing capacity. The Recycler project solution, however, was not advanced. Issue sellers wanted to promote the adoption of recycling equipment to reuse chemical waste, but they could not justify the initiative in terms of return on investment. Because the company only adopted the prescriptions of the social welfare logic that would enhance their commercial goals, sellers had little success when proposing solutions without clear financial benefits. In another example, Hugh Saddington at Telstra introduced a marketing strategy focused on reducing clients’ carbon footprint through the company’s information technology (Grayson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By creating sustainability calculators and establishing a strong business case, </w:t>
      </w:r>
      <w:r>
        <w:rPr>
          <w:rFonts w:ascii="Times New Roman" w:eastAsia="Times New Roman" w:hAnsi="Times New Roman" w:cs="Times New Roman"/>
          <w:sz w:val="24"/>
        </w:rPr>
        <w:t>he</w:t>
      </w:r>
      <w:r w:rsidRPr="00E75558">
        <w:rPr>
          <w:rFonts w:ascii="Times New Roman" w:eastAsia="Times New Roman" w:hAnsi="Times New Roman" w:cs="Times New Roman"/>
          <w:sz w:val="24"/>
        </w:rPr>
        <w:t xml:space="preserve"> made his idea resonate with the </w:t>
      </w:r>
      <w:r>
        <w:rPr>
          <w:rFonts w:ascii="Times New Roman" w:eastAsia="Times New Roman" w:hAnsi="Times New Roman" w:cs="Times New Roman"/>
          <w:sz w:val="24"/>
        </w:rPr>
        <w:t xml:space="preserve">organization’s </w:t>
      </w:r>
      <w:r w:rsidRPr="00E75558">
        <w:rPr>
          <w:rFonts w:ascii="Times New Roman" w:eastAsia="Times New Roman" w:hAnsi="Times New Roman" w:cs="Times New Roman"/>
          <w:sz w:val="24"/>
        </w:rPr>
        <w:t>logic.</w:t>
      </w:r>
    </w:p>
    <w:p w:rsidR="00FF2A8D" w:rsidRPr="00E75558" w:rsidRDefault="00FF2A8D" w:rsidP="00FF2A8D">
      <w:pPr>
        <w:pStyle w:val="Normal1"/>
        <w:spacing w:line="480" w:lineRule="auto"/>
        <w:ind w:firstLine="400"/>
        <w:rPr>
          <w:rFonts w:ascii="Times New Roman" w:eastAsia="Times New Roman" w:hAnsi="Times New Roman" w:cs="Times New Roman"/>
          <w:sz w:val="24"/>
        </w:rPr>
      </w:pPr>
      <w:r w:rsidRPr="00E75558">
        <w:rPr>
          <w:rFonts w:ascii="Times New Roman" w:eastAsia="Times New Roman" w:hAnsi="Times New Roman" w:cs="Times New Roman"/>
          <w:sz w:val="24"/>
        </w:rPr>
        <w:t xml:space="preserve">On the other hand, if a given solution to a social issue </w:t>
      </w:r>
      <w:r>
        <w:rPr>
          <w:rFonts w:ascii="Times New Roman" w:eastAsia="Times New Roman" w:hAnsi="Times New Roman" w:cs="Times New Roman"/>
          <w:sz w:val="24"/>
        </w:rPr>
        <w:t>reflects</w:t>
      </w:r>
      <w:r w:rsidRPr="00E75558">
        <w:rPr>
          <w:rFonts w:ascii="Times New Roman" w:eastAsia="Times New Roman" w:hAnsi="Times New Roman" w:cs="Times New Roman"/>
          <w:sz w:val="24"/>
        </w:rPr>
        <w:t xml:space="preserve"> prioritization of societal and environmental concerns over economic benefits, it will likely engender positive validity beliefs in organizations where the compatibility between the commercial and the social welfare logic can be low. In this scenario, the solution may advance a systemic approach to corporate sustainability, embracing the contradictions that may arise among the financial, social, and </w:t>
      </w:r>
      <w:r w:rsidRPr="00A37F60">
        <w:rPr>
          <w:rFonts w:ascii="Times New Roman" w:eastAsia="Times New Roman" w:hAnsi="Times New Roman" w:cs="Times New Roman"/>
          <w:color w:val="auto"/>
          <w:sz w:val="24"/>
        </w:rPr>
        <w:t xml:space="preserve">environmental dimensions of companies’ activities. We refer to these solutions as </w:t>
      </w:r>
      <w:r w:rsidRPr="00A37F60">
        <w:rPr>
          <w:rFonts w:ascii="Times New Roman" w:eastAsia="Times New Roman" w:hAnsi="Times New Roman" w:cs="Times New Roman"/>
          <w:i/>
          <w:color w:val="auto"/>
          <w:sz w:val="24"/>
        </w:rPr>
        <w:t>integrative</w:t>
      </w:r>
      <w:r w:rsidRPr="00A37F60">
        <w:rPr>
          <w:rFonts w:ascii="Times New Roman" w:eastAsia="Times New Roman" w:hAnsi="Times New Roman" w:cs="Times New Roman"/>
          <w:color w:val="auto"/>
          <w:sz w:val="24"/>
        </w:rPr>
        <w:t xml:space="preserve"> solutions (Gao and Bansal, 2013). Because the context allows for low compatibility between the</w:t>
      </w:r>
      <w:r w:rsidRPr="00E75558">
        <w:rPr>
          <w:rFonts w:ascii="Times New Roman" w:eastAsia="Times New Roman" w:hAnsi="Times New Roman" w:cs="Times New Roman"/>
          <w:sz w:val="24"/>
        </w:rPr>
        <w:t xml:space="preserve"> commercial and social welfare logics, value creation prevails over value capture (Santos, 2012), and positive change may emerge as a purposeful effort, rather than as a byproduct of companies’ activities (Haigh and Hoffman, 2014).</w:t>
      </w:r>
    </w:p>
    <w:p w:rsidR="00FF2A8D" w:rsidRPr="00E75558" w:rsidRDefault="00FF2A8D" w:rsidP="00FF2A8D">
      <w:pPr>
        <w:pStyle w:val="Normal1"/>
        <w:spacing w:line="480" w:lineRule="auto"/>
        <w:ind w:firstLine="400"/>
        <w:rPr>
          <w:rFonts w:ascii="Times New Roman" w:eastAsia="Times New Roman" w:hAnsi="Times New Roman" w:cs="Times New Roman"/>
          <w:color w:val="FF0000"/>
          <w:sz w:val="24"/>
        </w:rPr>
      </w:pPr>
      <w:r w:rsidRPr="00E75558">
        <w:rPr>
          <w:rFonts w:ascii="Times New Roman" w:eastAsia="Times New Roman" w:hAnsi="Times New Roman" w:cs="Times New Roman"/>
          <w:color w:val="auto"/>
          <w:sz w:val="24"/>
        </w:rPr>
        <w:t>Under these circumstances, successful solutions will likely include prescriptions of the social welfare logic that may be independent from</w:t>
      </w:r>
      <w:r>
        <w:rPr>
          <w:rFonts w:ascii="Times New Roman" w:eastAsia="Times New Roman" w:hAnsi="Times New Roman" w:cs="Times New Roman"/>
          <w:color w:val="auto"/>
          <w:sz w:val="24"/>
        </w:rPr>
        <w:t xml:space="preserve">—or </w:t>
      </w:r>
      <w:r w:rsidRPr="00E75558">
        <w:rPr>
          <w:rFonts w:ascii="Times New Roman" w:eastAsia="Times New Roman" w:hAnsi="Times New Roman" w:cs="Times New Roman"/>
          <w:color w:val="auto"/>
          <w:sz w:val="24"/>
        </w:rPr>
        <w:t>contradictory to</w:t>
      </w:r>
      <w:r>
        <w:rPr>
          <w:rFonts w:ascii="Times New Roman" w:eastAsia="Times New Roman" w:hAnsi="Times New Roman" w:cs="Times New Roman"/>
          <w:color w:val="auto"/>
          <w:sz w:val="24"/>
        </w:rPr>
        <w:t xml:space="preserve">—the </w:t>
      </w:r>
      <w:r w:rsidRPr="00E75558">
        <w:rPr>
          <w:rFonts w:ascii="Times New Roman" w:eastAsia="Times New Roman" w:hAnsi="Times New Roman" w:cs="Times New Roman"/>
          <w:color w:val="auto"/>
          <w:sz w:val="24"/>
        </w:rPr>
        <w:t xml:space="preserve">prescriptions of the core commercial logic. If a given solution presents weak potential for directly addressing important societal and environmental concerns, then it is less likely to be legitimated in this scenario. </w:t>
      </w:r>
      <w:r w:rsidRPr="00E75558">
        <w:rPr>
          <w:rFonts w:ascii="Times New Roman" w:eastAsia="Times New Roman" w:hAnsi="Times New Roman" w:cs="Times New Roman"/>
          <w:sz w:val="24"/>
        </w:rPr>
        <w:t>The case of Gib Bulloch</w:t>
      </w:r>
      <w:r w:rsidR="004F2DF6">
        <w:rPr>
          <w:rFonts w:ascii="Times New Roman" w:eastAsia="Times New Roman" w:hAnsi="Times New Roman" w:cs="Times New Roman"/>
          <w:sz w:val="24"/>
        </w:rPr>
        <w:t xml:space="preserve"> </w:t>
      </w:r>
      <w:r w:rsidRPr="00E75558">
        <w:rPr>
          <w:rFonts w:ascii="Times New Roman" w:eastAsia="Times New Roman" w:hAnsi="Times New Roman" w:cs="Times New Roman"/>
          <w:sz w:val="24"/>
        </w:rPr>
        <w:t>at Accenture exemplifies this approach to prognostic framing. After a year of voluntar</w:t>
      </w:r>
      <w:r>
        <w:rPr>
          <w:rFonts w:ascii="Times New Roman" w:eastAsia="Times New Roman" w:hAnsi="Times New Roman" w:cs="Times New Roman"/>
          <w:sz w:val="24"/>
        </w:rPr>
        <w:t>ily</w:t>
      </w:r>
      <w:r w:rsidRPr="00E75558">
        <w:rPr>
          <w:rFonts w:ascii="Times New Roman" w:eastAsia="Times New Roman" w:hAnsi="Times New Roman" w:cs="Times New Roman"/>
          <w:sz w:val="24"/>
        </w:rPr>
        <w:t xml:space="preserve"> offering his business skills to develop a support center for enterprises in an </w:t>
      </w:r>
      <w:r w:rsidRPr="006268AE">
        <w:rPr>
          <w:rFonts w:ascii="Times New Roman" w:eastAsia="Times New Roman" w:hAnsi="Times New Roman" w:cs="Times New Roman"/>
          <w:sz w:val="24"/>
        </w:rPr>
        <w:t>impoverished area of Macedonia, Bulloch had the idea of replicating and scaling his experience</w:t>
      </w:r>
      <w:r w:rsidRPr="00E75558">
        <w:rPr>
          <w:rFonts w:ascii="Times New Roman" w:eastAsia="Times New Roman" w:hAnsi="Times New Roman" w:cs="Times New Roman"/>
          <w:sz w:val="24"/>
        </w:rPr>
        <w:t xml:space="preserve"> through Accenture (Grayson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Having identified the opportunity </w:t>
      </w:r>
      <w:r>
        <w:rPr>
          <w:rFonts w:ascii="Times New Roman" w:eastAsia="Times New Roman" w:hAnsi="Times New Roman" w:cs="Times New Roman"/>
          <w:sz w:val="24"/>
        </w:rPr>
        <w:t>to offer</w:t>
      </w:r>
      <w:r w:rsidRPr="00E75558">
        <w:rPr>
          <w:rFonts w:ascii="Times New Roman" w:eastAsia="Times New Roman" w:hAnsi="Times New Roman" w:cs="Times New Roman"/>
          <w:sz w:val="24"/>
        </w:rPr>
        <w:t xml:space="preserve"> high</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quality consulting services to build the capacity of organizations in the international development sector, </w:t>
      </w:r>
      <w:r>
        <w:rPr>
          <w:rFonts w:ascii="Times New Roman" w:eastAsia="Times New Roman" w:hAnsi="Times New Roman" w:cs="Times New Roman"/>
          <w:sz w:val="24"/>
        </w:rPr>
        <w:t>Bulloch</w:t>
      </w:r>
      <w:r w:rsidRPr="00E75558">
        <w:rPr>
          <w:rFonts w:ascii="Times New Roman" w:eastAsia="Times New Roman" w:hAnsi="Times New Roman" w:cs="Times New Roman"/>
          <w:sz w:val="24"/>
        </w:rPr>
        <w:t xml:space="preserve"> devised the creation of a corporate social enterprise. The business model epitomized the enactment of prescriptions in contradiction to the goals of the commercial logic: Accenture would cut margins to zero and absorb overheads, and consultants would take a salary cut during their assignments. Th</w:t>
      </w:r>
      <w:r>
        <w:rPr>
          <w:rFonts w:ascii="Times New Roman" w:eastAsia="Times New Roman" w:hAnsi="Times New Roman" w:cs="Times New Roman"/>
          <w:sz w:val="24"/>
        </w:rPr>
        <w:t>ough</w:t>
      </w:r>
      <w:r w:rsidRPr="00E75558">
        <w:rPr>
          <w:rFonts w:ascii="Times New Roman" w:eastAsia="Times New Roman" w:hAnsi="Times New Roman" w:cs="Times New Roman"/>
          <w:sz w:val="24"/>
        </w:rPr>
        <w:t xml:space="preserve"> not aimed at generating profits, </w:t>
      </w:r>
      <w:r>
        <w:rPr>
          <w:rFonts w:ascii="Times New Roman" w:eastAsia="Times New Roman" w:hAnsi="Times New Roman" w:cs="Times New Roman"/>
          <w:sz w:val="24"/>
        </w:rPr>
        <w:t>the model</w:t>
      </w:r>
      <w:r w:rsidRPr="00E75558">
        <w:rPr>
          <w:rFonts w:ascii="Times New Roman" w:eastAsia="Times New Roman" w:hAnsi="Times New Roman" w:cs="Times New Roman"/>
          <w:sz w:val="24"/>
        </w:rPr>
        <w:t xml:space="preserve"> had to be financially viable</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hence clients woul</w:t>
      </w:r>
      <w:r w:rsidR="008440F2">
        <w:rPr>
          <w:rFonts w:ascii="Times New Roman" w:eastAsia="Times New Roman" w:hAnsi="Times New Roman" w:cs="Times New Roman"/>
          <w:sz w:val="24"/>
        </w:rPr>
        <w:t xml:space="preserve">d </w:t>
      </w:r>
      <w:r w:rsidRPr="00E75558">
        <w:rPr>
          <w:rFonts w:ascii="Times New Roman" w:eastAsia="Times New Roman" w:hAnsi="Times New Roman" w:cs="Times New Roman"/>
          <w:sz w:val="24"/>
        </w:rPr>
        <w:t xml:space="preserve">pay significantly reduced rates for consulting services. Although </w:t>
      </w:r>
      <w:r>
        <w:rPr>
          <w:rFonts w:ascii="Times New Roman" w:eastAsia="Times New Roman" w:hAnsi="Times New Roman" w:cs="Times New Roman"/>
          <w:sz w:val="24"/>
        </w:rPr>
        <w:t>Bulloch’s</w:t>
      </w:r>
      <w:r w:rsidRPr="00E75558">
        <w:rPr>
          <w:rFonts w:ascii="Times New Roman" w:eastAsia="Times New Roman" w:hAnsi="Times New Roman" w:cs="Times New Roman"/>
          <w:sz w:val="24"/>
        </w:rPr>
        <w:t xml:space="preserve"> idea was groundbreaking in itself, enacting prescriptions of the social welfare logic without expectations for bottom line improvements was not entirely new at Accenture. In an environment characterized by employees taking sabbaticals for voluntary service assignments, pro bono activities, and a corporate foundation (Bulloch, 2012), </w:t>
      </w:r>
      <w:r>
        <w:rPr>
          <w:rFonts w:ascii="Times New Roman" w:eastAsia="Times New Roman" w:hAnsi="Times New Roman" w:cs="Times New Roman"/>
          <w:sz w:val="24"/>
        </w:rPr>
        <w:t>Bulloch</w:t>
      </w:r>
      <w:r w:rsidRPr="00E75558">
        <w:rPr>
          <w:rFonts w:ascii="Times New Roman" w:eastAsia="Times New Roman" w:hAnsi="Times New Roman" w:cs="Times New Roman"/>
          <w:sz w:val="24"/>
        </w:rPr>
        <w:t xml:space="preserve"> could find fertile ground for his ‘not-for-loss’ solution. </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color w:val="auto"/>
          <w:sz w:val="24"/>
        </w:rPr>
        <w:t xml:space="preserve">In another example, Arup engineer Jo da Silva conceived a spin-off consultancy business to address urbanization challenges and disaster risk reduction in developing countries (Grayson </w:t>
      </w:r>
      <w:r w:rsidRPr="002A2443">
        <w:rPr>
          <w:rFonts w:ascii="Times New Roman" w:eastAsia="Times New Roman" w:hAnsi="Times New Roman" w:cs="Times New Roman"/>
          <w:i/>
          <w:color w:val="auto"/>
          <w:sz w:val="24"/>
        </w:rPr>
        <w:t>et al.</w:t>
      </w:r>
      <w:r w:rsidRPr="00E75558">
        <w:rPr>
          <w:rFonts w:ascii="Times New Roman" w:eastAsia="Times New Roman" w:hAnsi="Times New Roman" w:cs="Times New Roman"/>
          <w:color w:val="auto"/>
          <w:sz w:val="24"/>
        </w:rPr>
        <w:t xml:space="preserve">, 2014). Although </w:t>
      </w:r>
      <w:r>
        <w:rPr>
          <w:rFonts w:ascii="Times New Roman" w:eastAsia="Times New Roman" w:hAnsi="Times New Roman" w:cs="Times New Roman"/>
          <w:color w:val="auto"/>
          <w:sz w:val="24"/>
        </w:rPr>
        <w:t>her</w:t>
      </w:r>
      <w:r w:rsidRPr="00E75558">
        <w:rPr>
          <w:rFonts w:ascii="Times New Roman" w:eastAsia="Times New Roman" w:hAnsi="Times New Roman" w:cs="Times New Roman"/>
          <w:color w:val="auto"/>
          <w:sz w:val="24"/>
        </w:rPr>
        <w:t xml:space="preserve"> venture was proposed as a self-sustainable business, it would operate on lower margins than Arup’s commercial </w:t>
      </w:r>
      <w:r>
        <w:rPr>
          <w:rFonts w:ascii="Times New Roman" w:eastAsia="Times New Roman" w:hAnsi="Times New Roman" w:cs="Times New Roman"/>
          <w:color w:val="auto"/>
          <w:sz w:val="24"/>
        </w:rPr>
        <w:t>accounts</w:t>
      </w:r>
      <w:r w:rsidRPr="00E75558">
        <w:rPr>
          <w:rFonts w:ascii="Times New Roman" w:eastAsia="Times New Roman" w:hAnsi="Times New Roman" w:cs="Times New Roman"/>
          <w:color w:val="auto"/>
          <w:sz w:val="24"/>
        </w:rPr>
        <w:t xml:space="preserve">, and on a not-for-profit model. This solution aligned with the logic composition of the company, which </w:t>
      </w:r>
      <w:r>
        <w:rPr>
          <w:rFonts w:ascii="Times New Roman" w:eastAsia="Times New Roman" w:hAnsi="Times New Roman" w:cs="Times New Roman"/>
          <w:color w:val="auto"/>
          <w:sz w:val="24"/>
        </w:rPr>
        <w:t xml:space="preserve">from inception </w:t>
      </w:r>
      <w:r w:rsidRPr="00E75558">
        <w:rPr>
          <w:rFonts w:ascii="Times New Roman" w:eastAsia="Times New Roman" w:hAnsi="Times New Roman" w:cs="Times New Roman"/>
          <w:color w:val="auto"/>
          <w:sz w:val="24"/>
        </w:rPr>
        <w:t xml:space="preserve">emphasized humanitarianism. </w:t>
      </w:r>
    </w:p>
    <w:p w:rsidR="00FF2A8D" w:rsidRPr="00E75558" w:rsidRDefault="00FF2A8D" w:rsidP="00FF2A8D">
      <w:pPr>
        <w:pStyle w:val="Normal1"/>
        <w:spacing w:line="480" w:lineRule="auto"/>
        <w:ind w:firstLine="400"/>
        <w:rPr>
          <w:rFonts w:ascii="Times New Roman" w:hAnsi="Times New Roman"/>
          <w:sz w:val="24"/>
        </w:rPr>
      </w:pPr>
      <w:r w:rsidRPr="00E75558">
        <w:rPr>
          <w:rFonts w:ascii="Times New Roman" w:eastAsia="Times New Roman" w:hAnsi="Times New Roman" w:cs="Times New Roman"/>
          <w:sz w:val="24"/>
        </w:rPr>
        <w:t>Hence, we suggest that solutions to social issues that resonate with how the commercial and the social welfare logics are enacted in the fabric of organizations will likely conform to broader cultural expectations observed by selling targets (see Figure 1</w:t>
      </w:r>
      <w:r w:rsidR="003516C5">
        <w:rPr>
          <w:rFonts w:ascii="Times New Roman" w:eastAsia="Times New Roman" w:hAnsi="Times New Roman" w:cs="Times New Roman"/>
          <w:sz w:val="24"/>
        </w:rPr>
        <w:t xml:space="preserve"> for links with proposition keys</w:t>
      </w:r>
      <w:r w:rsidRPr="00E75558">
        <w:rPr>
          <w:rFonts w:ascii="Times New Roman" w:eastAsia="Times New Roman" w:hAnsi="Times New Roman" w:cs="Times New Roman"/>
          <w:sz w:val="24"/>
        </w:rPr>
        <w:t>):</w:t>
      </w:r>
    </w:p>
    <w:p w:rsidR="00FF2A8D" w:rsidRPr="00E75558" w:rsidRDefault="00FF2A8D" w:rsidP="00FF2A8D">
      <w:pPr>
        <w:pStyle w:val="Normal1"/>
        <w:spacing w:line="480" w:lineRule="auto"/>
        <w:ind w:left="400"/>
        <w:rPr>
          <w:rFonts w:ascii="Times New Roman" w:eastAsia="Times New Roman" w:hAnsi="Times New Roman" w:cs="Times New Roman"/>
          <w:i/>
          <w:sz w:val="24"/>
          <w:szCs w:val="24"/>
        </w:rPr>
      </w:pPr>
      <w:r w:rsidRPr="00E75558">
        <w:rPr>
          <w:rFonts w:ascii="Times New Roman" w:eastAsia="Times New Roman" w:hAnsi="Times New Roman" w:cs="Times New Roman"/>
          <w:i/>
          <w:sz w:val="24"/>
          <w:szCs w:val="24"/>
        </w:rPr>
        <w:t xml:space="preserve">Proposition 2a: Solutions to social issues that subordinate the social welfare logic to the commercial logic (1) will likely promote validity beliefs when compatibility between </w:t>
      </w:r>
      <w:r>
        <w:rPr>
          <w:rFonts w:ascii="Times New Roman" w:eastAsia="Times New Roman" w:hAnsi="Times New Roman" w:cs="Times New Roman"/>
          <w:i/>
          <w:sz w:val="24"/>
          <w:szCs w:val="24"/>
        </w:rPr>
        <w:t>these</w:t>
      </w:r>
      <w:r w:rsidRPr="00E75558">
        <w:rPr>
          <w:rFonts w:ascii="Times New Roman" w:eastAsia="Times New Roman" w:hAnsi="Times New Roman" w:cs="Times New Roman"/>
          <w:i/>
          <w:sz w:val="24"/>
          <w:szCs w:val="24"/>
        </w:rPr>
        <w:t xml:space="preserve"> logics is high (A).</w:t>
      </w:r>
    </w:p>
    <w:p w:rsidR="00FF2A8D" w:rsidRPr="00E75558" w:rsidRDefault="00FF2A8D" w:rsidP="00FF2A8D">
      <w:pPr>
        <w:pStyle w:val="Normal1"/>
        <w:spacing w:line="480" w:lineRule="auto"/>
        <w:ind w:left="400"/>
        <w:rPr>
          <w:rFonts w:ascii="Times New Roman" w:eastAsia="Times New Roman" w:hAnsi="Times New Roman" w:cs="Times New Roman"/>
          <w:i/>
          <w:sz w:val="24"/>
          <w:szCs w:val="24"/>
        </w:rPr>
      </w:pPr>
      <w:r w:rsidRPr="00E75558">
        <w:rPr>
          <w:rFonts w:ascii="Times New Roman" w:eastAsia="Times New Roman" w:hAnsi="Times New Roman" w:cs="Times New Roman"/>
          <w:i/>
          <w:sz w:val="24"/>
          <w:szCs w:val="24"/>
        </w:rPr>
        <w:t xml:space="preserve">Proposition 2b: Solutions to social issues that subordinate the commercial logic to the social welfare logic (2) will likely promote validity beliefs when compatibility between </w:t>
      </w:r>
      <w:r>
        <w:rPr>
          <w:rFonts w:ascii="Times New Roman" w:eastAsia="Times New Roman" w:hAnsi="Times New Roman" w:cs="Times New Roman"/>
          <w:i/>
          <w:sz w:val="24"/>
          <w:szCs w:val="24"/>
        </w:rPr>
        <w:t>these</w:t>
      </w:r>
      <w:r w:rsidRPr="00E75558">
        <w:rPr>
          <w:rFonts w:ascii="Times New Roman" w:eastAsia="Times New Roman" w:hAnsi="Times New Roman" w:cs="Times New Roman"/>
          <w:i/>
          <w:sz w:val="24"/>
          <w:szCs w:val="24"/>
        </w:rPr>
        <w:t xml:space="preserve"> logics is low (B).</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color w:val="auto"/>
          <w:sz w:val="24"/>
        </w:rPr>
        <w:t xml:space="preserve">When framing issues, however, sellers engage </w:t>
      </w:r>
      <w:r>
        <w:rPr>
          <w:rFonts w:ascii="Times New Roman" w:eastAsia="Times New Roman" w:hAnsi="Times New Roman" w:cs="Times New Roman"/>
          <w:color w:val="auto"/>
          <w:sz w:val="24"/>
        </w:rPr>
        <w:t xml:space="preserve">not only </w:t>
      </w:r>
      <w:r w:rsidRPr="00E75558">
        <w:rPr>
          <w:rFonts w:ascii="Times New Roman" w:eastAsia="Times New Roman" w:hAnsi="Times New Roman" w:cs="Times New Roman"/>
          <w:color w:val="auto"/>
          <w:sz w:val="24"/>
        </w:rPr>
        <w:t>in meaning creation, but also in activati</w:t>
      </w:r>
      <w:r>
        <w:rPr>
          <w:rFonts w:ascii="Times New Roman" w:eastAsia="Times New Roman" w:hAnsi="Times New Roman" w:cs="Times New Roman"/>
          <w:color w:val="auto"/>
          <w:sz w:val="24"/>
        </w:rPr>
        <w:t>on of</w:t>
      </w:r>
      <w:r w:rsidRPr="00E75558">
        <w:rPr>
          <w:rFonts w:ascii="Times New Roman" w:eastAsia="Times New Roman" w:hAnsi="Times New Roman" w:cs="Times New Roman"/>
          <w:color w:val="auto"/>
          <w:sz w:val="24"/>
        </w:rPr>
        <w:t xml:space="preserve"> the cognitive frames or schemas of selling targets (Cornelissen and Werner, 2014; Howard-Grenville, 2007). Hence, </w:t>
      </w:r>
      <w:r w:rsidRPr="00E75558">
        <w:rPr>
          <w:rFonts w:ascii="Times New Roman" w:eastAsia="Times New Roman" w:hAnsi="Times New Roman" w:cs="Times New Roman"/>
          <w:color w:val="auto"/>
          <w:sz w:val="24"/>
          <w:szCs w:val="24"/>
        </w:rPr>
        <w:t>solutions can only advance responses to social issues if key organizational constituents are motivated to offer support or take action. Social movement research suggests that motivational framing tasks build on</w:t>
      </w:r>
      <w:r w:rsidRPr="00E75558">
        <w:rPr>
          <w:rFonts w:ascii="Times New Roman" w:eastAsia="Times New Roman" w:hAnsi="Times New Roman" w:cs="Times New Roman"/>
          <w:color w:val="auto"/>
          <w:sz w:val="24"/>
        </w:rPr>
        <w:t xml:space="preserve"> vocabularies of motive (Benford and Snow, 2000), which may assume one of two different linguistic codes: </w:t>
      </w:r>
      <w:r>
        <w:rPr>
          <w:rFonts w:ascii="Times New Roman" w:eastAsia="Times New Roman" w:hAnsi="Times New Roman" w:cs="Times New Roman"/>
          <w:color w:val="auto"/>
          <w:sz w:val="24"/>
        </w:rPr>
        <w:t>a</w:t>
      </w:r>
      <w:r w:rsidRPr="00E75558">
        <w:rPr>
          <w:rFonts w:ascii="Times New Roman" w:eastAsia="Times New Roman" w:hAnsi="Times New Roman" w:cs="Times New Roman"/>
          <w:color w:val="auto"/>
          <w:sz w:val="24"/>
        </w:rPr>
        <w:t xml:space="preserve"> </w:t>
      </w:r>
      <w:r w:rsidRPr="00A01819">
        <w:rPr>
          <w:rFonts w:ascii="Times New Roman" w:eastAsia="Times New Roman" w:hAnsi="Times New Roman" w:cs="Times New Roman"/>
          <w:i/>
          <w:color w:val="auto"/>
          <w:sz w:val="24"/>
        </w:rPr>
        <w:t>restricted</w:t>
      </w:r>
      <w:r w:rsidRPr="00E75558">
        <w:rPr>
          <w:rFonts w:ascii="Times New Roman" w:eastAsia="Times New Roman" w:hAnsi="Times New Roman" w:cs="Times New Roman"/>
          <w:color w:val="auto"/>
          <w:sz w:val="24"/>
        </w:rPr>
        <w:t xml:space="preserve"> code or </w:t>
      </w:r>
      <w:r>
        <w:rPr>
          <w:rFonts w:ascii="Times New Roman" w:eastAsia="Times New Roman" w:hAnsi="Times New Roman" w:cs="Times New Roman"/>
          <w:color w:val="auto"/>
          <w:sz w:val="24"/>
        </w:rPr>
        <w:t>an</w:t>
      </w:r>
      <w:r w:rsidRPr="00E75558">
        <w:rPr>
          <w:rFonts w:ascii="Times New Roman" w:eastAsia="Times New Roman" w:hAnsi="Times New Roman" w:cs="Times New Roman"/>
          <w:color w:val="auto"/>
          <w:sz w:val="24"/>
        </w:rPr>
        <w:t xml:space="preserve"> </w:t>
      </w:r>
      <w:r w:rsidRPr="00A01819">
        <w:rPr>
          <w:rFonts w:ascii="Times New Roman" w:eastAsia="Times New Roman" w:hAnsi="Times New Roman" w:cs="Times New Roman"/>
          <w:i/>
          <w:color w:val="auto"/>
          <w:sz w:val="24"/>
        </w:rPr>
        <w:t>elaborated</w:t>
      </w:r>
      <w:r w:rsidRPr="00E75558">
        <w:rPr>
          <w:rFonts w:ascii="Times New Roman" w:eastAsia="Times New Roman" w:hAnsi="Times New Roman" w:cs="Times New Roman"/>
          <w:color w:val="auto"/>
          <w:sz w:val="24"/>
        </w:rPr>
        <w:t xml:space="preserve"> code (Bernstein, 1971; Snow and Benford, 1992).</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color w:val="auto"/>
          <w:sz w:val="24"/>
        </w:rPr>
        <w:t>Motivational framing based on restricted vocabularies of motive implies the use of words that reflect the organization</w:t>
      </w:r>
      <w:r>
        <w:rPr>
          <w:rFonts w:ascii="Times New Roman" w:eastAsia="Times New Roman" w:hAnsi="Times New Roman" w:cs="Times New Roman"/>
          <w:color w:val="auto"/>
          <w:sz w:val="24"/>
        </w:rPr>
        <w:t>’s</w:t>
      </w:r>
      <w:r w:rsidRPr="00E75558">
        <w:rPr>
          <w:rFonts w:ascii="Times New Roman" w:eastAsia="Times New Roman" w:hAnsi="Times New Roman" w:cs="Times New Roman"/>
          <w:color w:val="auto"/>
          <w:sz w:val="24"/>
        </w:rPr>
        <w:t xml:space="preserve"> immediate social structure and provide a narrow range of ideas, thus being predictable and allowing little room for varied interpretations (Snow and Benford, 1992). In contrast, motivational framing based on elaborated vocabularies of motive implies the application of a wider range of ideas, thus being more flexible and “less predictable and reflective of immediate structures” (Snow and Benford, 1992, p. 139).</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color w:val="auto"/>
          <w:sz w:val="24"/>
        </w:rPr>
        <w:t xml:space="preserve">We suggest that the motivational framing of a social issue may promote positive propriety judgments about it, subject to how sellers apply vocabularies of motive that connect with their targets. This connection, we argue, depends on the </w:t>
      </w:r>
      <w:r w:rsidRPr="00E75558">
        <w:rPr>
          <w:rFonts w:ascii="Times New Roman" w:eastAsia="Times New Roman" w:hAnsi="Times New Roman" w:cs="Times New Roman"/>
          <w:color w:val="auto"/>
          <w:sz w:val="24"/>
          <w:szCs w:val="24"/>
        </w:rPr>
        <w:t xml:space="preserve">level of selling targets’ adherence to the social welfare logic </w:t>
      </w:r>
      <w:r w:rsidRPr="00E75558">
        <w:rPr>
          <w:rFonts w:ascii="Times New Roman" w:eastAsia="Times New Roman" w:hAnsi="Times New Roman" w:cs="Times New Roman"/>
          <w:color w:val="auto"/>
          <w:sz w:val="24"/>
        </w:rPr>
        <w:t>(Besharov and Smith, 2014), which represents how they may differ on the sets of norms they select to evaluate issues (Bitektine and Haack, 2015).</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color w:val="auto"/>
          <w:sz w:val="24"/>
        </w:rPr>
        <w:t xml:space="preserve">Targets of issue selling initiatives may vary in values, beliefs, job positions, and functions, which inform their enacting of commercial and social welfare logics in daily activities. Whereas it can be expected that in a for-profit organization most members will adhere to the </w:t>
      </w:r>
      <w:r>
        <w:rPr>
          <w:rFonts w:ascii="Times New Roman" w:eastAsia="Times New Roman" w:hAnsi="Times New Roman" w:cs="Times New Roman"/>
          <w:color w:val="auto"/>
          <w:sz w:val="24"/>
        </w:rPr>
        <w:t xml:space="preserve">overarching </w:t>
      </w:r>
      <w:r w:rsidRPr="00E75558">
        <w:rPr>
          <w:rFonts w:ascii="Times New Roman" w:eastAsia="Times New Roman" w:hAnsi="Times New Roman" w:cs="Times New Roman"/>
          <w:color w:val="auto"/>
          <w:sz w:val="24"/>
        </w:rPr>
        <w:t>commercial logic in order to fulfill the requirements of their job descriptions, adhering to the social welfare logic may</w:t>
      </w:r>
      <w:r>
        <w:rPr>
          <w:rFonts w:ascii="Times New Roman" w:eastAsia="Times New Roman" w:hAnsi="Times New Roman" w:cs="Times New Roman"/>
          <w:color w:val="auto"/>
          <w:sz w:val="24"/>
        </w:rPr>
        <w:t>, in contrast,</w:t>
      </w:r>
      <w:r w:rsidRPr="00E75558">
        <w:rPr>
          <w:rFonts w:ascii="Times New Roman" w:eastAsia="Times New Roman" w:hAnsi="Times New Roman" w:cs="Times New Roman"/>
          <w:color w:val="auto"/>
          <w:sz w:val="24"/>
        </w:rPr>
        <w:t xml:space="preserve"> result from individual preferences or job expectations associated with specific positions.</w:t>
      </w:r>
    </w:p>
    <w:p w:rsidR="00FF2A8D" w:rsidRPr="00E75558" w:rsidRDefault="00FF2A8D" w:rsidP="00FF2A8D">
      <w:pPr>
        <w:pStyle w:val="Normal1"/>
        <w:spacing w:line="480" w:lineRule="auto"/>
        <w:ind w:firstLine="400"/>
        <w:rPr>
          <w:rFonts w:ascii="Times New Roman" w:eastAsia="Times New Roman" w:hAnsi="Times New Roman" w:cs="Times New Roman"/>
          <w:sz w:val="24"/>
        </w:rPr>
      </w:pPr>
      <w:r w:rsidRPr="00E75558">
        <w:rPr>
          <w:rFonts w:ascii="Times New Roman" w:eastAsia="Times New Roman" w:hAnsi="Times New Roman" w:cs="Times New Roman"/>
          <w:sz w:val="24"/>
        </w:rPr>
        <w:t>Hence, if the motivational framing task is characterized by restricted vocabularies of motive, it will likely engender positive propriety judgments when selling targets demonstrate low adherence to the social welfare logic. In the context of for-profit organizations, restricted vocabularies of motive build on an instrumental basis of legitimacy, raising notions of “effectiveness, efficiency, or utility” (Tost, 2011, p. 693). By focusing on instrumental motives, restricted vocabularies may advance the business case for social issues, linking tentative solutions to the commercial interests of organizations.</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sz w:val="24"/>
        </w:rPr>
        <w:t xml:space="preserve">One of the environmental specialists in Howard-Grenville’s (2007) study offers an example of this type of motivational framing. After perceiving the low adherence of his targets to the social welfare logic, the seller decided to redefine an environmental issue as operational. He then presented a slide to the technical team showing how the emissions of hazardous air pollutants would have a negative impact on the company’s manufacturing goals (Howard-Grenville and Hoffman, 2003). Rather than amplifying the values associated with the need of reducing emissions, the seller extended the frame (Snow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1986) of the issue to the operational realm, emphasizing instrumental motives that would connect with the values and beliefs of selling targets.</w:t>
      </w:r>
      <w:r w:rsidRPr="00E75558">
        <w:rPr>
          <w:rFonts w:ascii="Times New Roman" w:eastAsia="Times New Roman" w:hAnsi="Times New Roman" w:cs="Times New Roman"/>
          <w:color w:val="FF0000"/>
          <w:sz w:val="24"/>
        </w:rPr>
        <w:t xml:space="preserve"> </w:t>
      </w:r>
      <w:r w:rsidRPr="00E75558">
        <w:rPr>
          <w:rFonts w:ascii="Times New Roman" w:eastAsia="Times New Roman" w:hAnsi="Times New Roman" w:cs="Times New Roman"/>
          <w:color w:val="auto"/>
          <w:sz w:val="24"/>
        </w:rPr>
        <w:t xml:space="preserve">Similarly, </w:t>
      </w:r>
      <w:r>
        <w:rPr>
          <w:rFonts w:ascii="Times New Roman" w:eastAsia="Times New Roman" w:hAnsi="Times New Roman" w:cs="Times New Roman"/>
          <w:color w:val="auto"/>
          <w:sz w:val="24"/>
        </w:rPr>
        <w:t xml:space="preserve">Telstra’s </w:t>
      </w:r>
      <w:r w:rsidRPr="00E75558">
        <w:rPr>
          <w:rFonts w:ascii="Times New Roman" w:eastAsia="Times New Roman" w:hAnsi="Times New Roman" w:cs="Times New Roman"/>
          <w:color w:val="auto"/>
          <w:sz w:val="24"/>
        </w:rPr>
        <w:t xml:space="preserve">Hugh Saddington had to redefine his motivational frame on business case terms, </w:t>
      </w:r>
      <w:r w:rsidR="0081602D">
        <w:rPr>
          <w:rFonts w:ascii="Times New Roman" w:eastAsia="Times New Roman" w:hAnsi="Times New Roman" w:cs="Times New Roman"/>
          <w:color w:val="auto"/>
          <w:sz w:val="24"/>
        </w:rPr>
        <w:t xml:space="preserve">as </w:t>
      </w:r>
      <w:r>
        <w:rPr>
          <w:rFonts w:ascii="Times New Roman" w:eastAsia="Times New Roman" w:hAnsi="Times New Roman" w:cs="Times New Roman"/>
          <w:color w:val="auto"/>
          <w:sz w:val="24"/>
        </w:rPr>
        <w:t>the firm’s</w:t>
      </w:r>
      <w:r w:rsidRPr="00E75558">
        <w:rPr>
          <w:rFonts w:ascii="Times New Roman" w:eastAsia="Times New Roman" w:hAnsi="Times New Roman" w:cs="Times New Roman"/>
          <w:color w:val="auto"/>
          <w:sz w:val="24"/>
        </w:rPr>
        <w:t xml:space="preserve"> directors </w:t>
      </w:r>
      <w:r>
        <w:rPr>
          <w:rFonts w:ascii="Times New Roman" w:eastAsia="Times New Roman" w:hAnsi="Times New Roman" w:cs="Times New Roman"/>
          <w:color w:val="auto"/>
          <w:sz w:val="24"/>
        </w:rPr>
        <w:t>were initially skeptical about</w:t>
      </w:r>
      <w:r w:rsidRPr="00E75558">
        <w:rPr>
          <w:rFonts w:ascii="Times New Roman" w:eastAsia="Times New Roman" w:hAnsi="Times New Roman" w:cs="Times New Roman"/>
          <w:color w:val="auto"/>
          <w:sz w:val="24"/>
        </w:rPr>
        <w:t xml:space="preserve"> his idea of addressing climate change through information technology (Grayson </w:t>
      </w:r>
      <w:r w:rsidRPr="002A2443">
        <w:rPr>
          <w:rFonts w:ascii="Times New Roman" w:eastAsia="Times New Roman" w:hAnsi="Times New Roman" w:cs="Times New Roman"/>
          <w:i/>
          <w:color w:val="auto"/>
          <w:sz w:val="24"/>
        </w:rPr>
        <w:t>et al.</w:t>
      </w:r>
      <w:r w:rsidRPr="00E75558">
        <w:rPr>
          <w:rFonts w:ascii="Times New Roman" w:eastAsia="Times New Roman" w:hAnsi="Times New Roman" w:cs="Times New Roman"/>
          <w:color w:val="auto"/>
          <w:sz w:val="24"/>
        </w:rPr>
        <w:t>, 2014).</w:t>
      </w:r>
    </w:p>
    <w:p w:rsidR="00FF2A8D" w:rsidRPr="00E75558" w:rsidRDefault="00FF2A8D" w:rsidP="00FF2A8D">
      <w:pPr>
        <w:pStyle w:val="Normal1"/>
        <w:spacing w:line="480" w:lineRule="auto"/>
        <w:ind w:firstLine="400"/>
        <w:rPr>
          <w:rFonts w:ascii="Times New Roman" w:eastAsia="Times New Roman" w:hAnsi="Times New Roman" w:cs="Times New Roman"/>
          <w:sz w:val="24"/>
        </w:rPr>
      </w:pPr>
      <w:r w:rsidRPr="00E75558">
        <w:rPr>
          <w:rFonts w:ascii="Times New Roman" w:eastAsia="Times New Roman" w:hAnsi="Times New Roman" w:cs="Times New Roman"/>
          <w:color w:val="auto"/>
          <w:sz w:val="24"/>
        </w:rPr>
        <w:t xml:space="preserve">On the other hand, if the motivational framing task is characterized by elaborated vocabularies of motive, it will likely engender positive propriety judgments when selling targets </w:t>
      </w:r>
      <w:r w:rsidRPr="00007D6D">
        <w:rPr>
          <w:rFonts w:ascii="Times New Roman" w:eastAsia="Times New Roman" w:hAnsi="Times New Roman" w:cs="Times New Roman"/>
          <w:color w:val="auto"/>
          <w:sz w:val="24"/>
        </w:rPr>
        <w:t>demonstrate high adherence to the social welfare logic. Elaborated vocabularies of motive may include instrumental aspects, but also build on both relational and moral bases of legitimacy,</w:t>
      </w:r>
      <w:r w:rsidRPr="00E75558">
        <w:rPr>
          <w:rFonts w:ascii="Times New Roman" w:eastAsia="Times New Roman" w:hAnsi="Times New Roman" w:cs="Times New Roman"/>
          <w:sz w:val="24"/>
        </w:rPr>
        <w:t xml:space="preserve"> raising notions of “fairness, benevolence, or communality” and “morality, ethicality, or integrity” (Tost, 2011, p. 694).</w:t>
      </w:r>
      <w:r w:rsidRPr="00E75558">
        <w:rPr>
          <w:rFonts w:ascii="Times New Roman" w:eastAsia="Times New Roman" w:hAnsi="Times New Roman" w:cs="Times New Roman"/>
          <w:color w:val="auto"/>
          <w:sz w:val="24"/>
        </w:rPr>
        <w:t xml:space="preserve"> </w:t>
      </w:r>
      <w:r w:rsidRPr="00E75558">
        <w:rPr>
          <w:rFonts w:ascii="Times New Roman" w:eastAsia="Times New Roman" w:hAnsi="Times New Roman" w:cs="Times New Roman"/>
          <w:sz w:val="24"/>
        </w:rPr>
        <w:t xml:space="preserve">By focusing on relational motives, elaborated vocabularies may advance social issues, establishing the role of organizations in fulfilling the interests of different stakeholder groups. In turn, by focusing on moral motives, vocabularies can emphasize higher-order values or stewardship interests (Aguilera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2007).</w:t>
      </w:r>
    </w:p>
    <w:p w:rsidR="00FF2A8D" w:rsidRPr="00E75558" w:rsidRDefault="00FF2A8D" w:rsidP="00FF2A8D">
      <w:pPr>
        <w:pStyle w:val="Normal1"/>
        <w:spacing w:line="480" w:lineRule="auto"/>
        <w:ind w:firstLine="400"/>
        <w:rPr>
          <w:rFonts w:ascii="Times New Roman" w:eastAsia="Times New Roman" w:hAnsi="Times New Roman" w:cs="Times New Roman"/>
          <w:sz w:val="24"/>
        </w:rPr>
      </w:pPr>
      <w:r w:rsidRPr="00E75558">
        <w:rPr>
          <w:rFonts w:ascii="Times New Roman" w:eastAsia="Times New Roman" w:hAnsi="Times New Roman" w:cs="Times New Roman"/>
          <w:sz w:val="24"/>
        </w:rPr>
        <w:t xml:space="preserve">The example of </w:t>
      </w:r>
      <w:r>
        <w:rPr>
          <w:rFonts w:ascii="Times New Roman" w:eastAsia="Times New Roman" w:hAnsi="Times New Roman" w:cs="Times New Roman"/>
          <w:sz w:val="24"/>
        </w:rPr>
        <w:t xml:space="preserve">Accenture’s </w:t>
      </w:r>
      <w:r w:rsidRPr="00E75558">
        <w:rPr>
          <w:rFonts w:ascii="Times New Roman" w:eastAsia="Times New Roman" w:hAnsi="Times New Roman" w:cs="Times New Roman"/>
          <w:sz w:val="24"/>
        </w:rPr>
        <w:t xml:space="preserve">Gib Bulloch again illustrates our proposition. After devising a business model for a corporate social enterprise within Accenture, </w:t>
      </w:r>
      <w:r>
        <w:rPr>
          <w:rFonts w:ascii="Times New Roman" w:eastAsia="Times New Roman" w:hAnsi="Times New Roman" w:cs="Times New Roman"/>
          <w:sz w:val="24"/>
        </w:rPr>
        <w:t>Bulloch’s</w:t>
      </w:r>
      <w:r w:rsidRPr="00E75558">
        <w:rPr>
          <w:rFonts w:ascii="Times New Roman" w:eastAsia="Times New Roman" w:hAnsi="Times New Roman" w:cs="Times New Roman"/>
          <w:sz w:val="24"/>
        </w:rPr>
        <w:t xml:space="preserve"> first step was to approach the chairman. He went on to write a faux press article </w:t>
      </w:r>
      <w:r>
        <w:rPr>
          <w:rFonts w:ascii="Times New Roman" w:eastAsia="Times New Roman" w:hAnsi="Times New Roman" w:cs="Times New Roman"/>
          <w:sz w:val="24"/>
        </w:rPr>
        <w:t xml:space="preserve">set </w:t>
      </w:r>
      <w:r w:rsidRPr="00E75558">
        <w:rPr>
          <w:rFonts w:ascii="Times New Roman" w:eastAsia="Times New Roman" w:hAnsi="Times New Roman" w:cs="Times New Roman"/>
          <w:sz w:val="24"/>
        </w:rPr>
        <w:t xml:space="preserve">six months in the future, in which the chairman was commended in the World Economic Forum for launching an innovative not-for-profit business unit (Grayson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In the article, </w:t>
      </w:r>
      <w:r>
        <w:rPr>
          <w:rFonts w:ascii="Times New Roman" w:eastAsia="Times New Roman" w:hAnsi="Times New Roman" w:cs="Times New Roman"/>
          <w:sz w:val="24"/>
        </w:rPr>
        <w:t>Bulloch</w:t>
      </w:r>
      <w:r w:rsidRPr="00E75558">
        <w:rPr>
          <w:rFonts w:ascii="Times New Roman" w:eastAsia="Times New Roman" w:hAnsi="Times New Roman" w:cs="Times New Roman"/>
          <w:sz w:val="24"/>
        </w:rPr>
        <w:t xml:space="preserve"> portrayed the chairman as transcending the dichotomy between business and society, and highlighted the multiple advantages of the enterprise for Accenture, </w:t>
      </w:r>
      <w:r>
        <w:rPr>
          <w:rFonts w:ascii="Times New Roman" w:eastAsia="Times New Roman" w:hAnsi="Times New Roman" w:cs="Times New Roman"/>
          <w:sz w:val="24"/>
        </w:rPr>
        <w:t xml:space="preserve">stakeholders, </w:t>
      </w:r>
      <w:r w:rsidRPr="00E75558">
        <w:rPr>
          <w:rFonts w:ascii="Times New Roman" w:eastAsia="Times New Roman" w:hAnsi="Times New Roman" w:cs="Times New Roman"/>
          <w:sz w:val="24"/>
        </w:rPr>
        <w:t xml:space="preserve">and </w:t>
      </w:r>
      <w:r>
        <w:rPr>
          <w:rFonts w:ascii="Times New Roman" w:eastAsia="Times New Roman" w:hAnsi="Times New Roman" w:cs="Times New Roman"/>
          <w:sz w:val="24"/>
        </w:rPr>
        <w:t xml:space="preserve">broader </w:t>
      </w:r>
      <w:r w:rsidRPr="00E75558">
        <w:rPr>
          <w:rFonts w:ascii="Times New Roman" w:eastAsia="Times New Roman" w:hAnsi="Times New Roman" w:cs="Times New Roman"/>
          <w:sz w:val="24"/>
        </w:rPr>
        <w:t xml:space="preserve">society, with particular focus on the mutually beneficial relationships it would promote (Rogan and Bode, 2014). In his fictitious piece, </w:t>
      </w:r>
      <w:r>
        <w:rPr>
          <w:rFonts w:ascii="Times New Roman" w:eastAsia="Times New Roman" w:hAnsi="Times New Roman" w:cs="Times New Roman"/>
          <w:sz w:val="24"/>
        </w:rPr>
        <w:t>Bulloch</w:t>
      </w:r>
      <w:r w:rsidRPr="00E75558">
        <w:rPr>
          <w:rFonts w:ascii="Times New Roman" w:eastAsia="Times New Roman" w:hAnsi="Times New Roman" w:cs="Times New Roman"/>
          <w:sz w:val="24"/>
        </w:rPr>
        <w:t xml:space="preserve"> even conferred a knighthood to the chairman (TEDx Talks, 2013), a symbol of significant contribution to national life in the United Kingdom. By adopting an inclusive language and elevating stewardship and stakeholder interests in his text, </w:t>
      </w:r>
      <w:r>
        <w:rPr>
          <w:rFonts w:ascii="Times New Roman" w:eastAsia="Times New Roman" w:hAnsi="Times New Roman" w:cs="Times New Roman"/>
          <w:sz w:val="24"/>
        </w:rPr>
        <w:t>Bulloch</w:t>
      </w:r>
      <w:r w:rsidRPr="00E75558">
        <w:rPr>
          <w:rFonts w:ascii="Times New Roman" w:eastAsia="Times New Roman" w:hAnsi="Times New Roman" w:cs="Times New Roman"/>
          <w:sz w:val="24"/>
        </w:rPr>
        <w:t xml:space="preserve"> amplified the values (Snow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1986) of the social issue he </w:t>
      </w:r>
      <w:r>
        <w:rPr>
          <w:rFonts w:ascii="Times New Roman" w:eastAsia="Times New Roman" w:hAnsi="Times New Roman" w:cs="Times New Roman"/>
          <w:sz w:val="24"/>
        </w:rPr>
        <w:t>wished</w:t>
      </w:r>
      <w:r w:rsidRPr="00E75558">
        <w:rPr>
          <w:rFonts w:ascii="Times New Roman" w:eastAsia="Times New Roman" w:hAnsi="Times New Roman" w:cs="Times New Roman"/>
          <w:sz w:val="24"/>
        </w:rPr>
        <w:t xml:space="preserve"> to promote, as he perceived the chairman as supportive of the social welfare logic.</w:t>
      </w:r>
    </w:p>
    <w:p w:rsidR="00FF2A8D" w:rsidRPr="00E75558" w:rsidRDefault="00FF2A8D" w:rsidP="00FF2A8D">
      <w:pPr>
        <w:pStyle w:val="Normal1"/>
        <w:spacing w:line="480" w:lineRule="auto"/>
        <w:ind w:firstLine="400"/>
        <w:rPr>
          <w:rFonts w:ascii="Times New Roman" w:eastAsia="Times New Roman" w:hAnsi="Times New Roman" w:cs="Times New Roman"/>
          <w:color w:val="auto"/>
          <w:sz w:val="24"/>
        </w:rPr>
      </w:pPr>
      <w:r w:rsidRPr="00E75558">
        <w:rPr>
          <w:rFonts w:ascii="Times New Roman" w:eastAsia="Times New Roman" w:hAnsi="Times New Roman" w:cs="Times New Roman"/>
          <w:sz w:val="24"/>
        </w:rPr>
        <w:t xml:space="preserve">Jo da Silva’s selling of her Arup International Development venture also exemplifies this approach to motivational framing. In persuading top management at Arup, she framed her project as a business that would complement the company’s charitable activities and help fulfill its mission ‘to shape a better world’ (Grayson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2014).</w:t>
      </w:r>
    </w:p>
    <w:p w:rsidR="00FF2A8D" w:rsidRPr="00E75558" w:rsidRDefault="00FF2A8D" w:rsidP="00FF2A8D">
      <w:pPr>
        <w:pStyle w:val="Normal1"/>
        <w:spacing w:line="480" w:lineRule="auto"/>
        <w:ind w:firstLine="400"/>
        <w:rPr>
          <w:rFonts w:ascii="Times New Roman" w:eastAsia="Times New Roman" w:hAnsi="Times New Roman" w:cs="Times New Roman"/>
          <w:sz w:val="24"/>
        </w:rPr>
      </w:pPr>
      <w:r w:rsidRPr="00E75558">
        <w:rPr>
          <w:rFonts w:ascii="Times New Roman" w:eastAsia="Times New Roman" w:hAnsi="Times New Roman" w:cs="Times New Roman"/>
          <w:sz w:val="24"/>
        </w:rPr>
        <w:t xml:space="preserve">Hence, we suggest that motivations </w:t>
      </w:r>
      <w:r w:rsidR="00B45415">
        <w:rPr>
          <w:rFonts w:ascii="Times New Roman" w:eastAsia="Times New Roman" w:hAnsi="Times New Roman" w:cs="Times New Roman"/>
          <w:sz w:val="24"/>
        </w:rPr>
        <w:t xml:space="preserve">related </w:t>
      </w:r>
      <w:r w:rsidRPr="00E75558">
        <w:rPr>
          <w:rFonts w:ascii="Times New Roman" w:eastAsia="Times New Roman" w:hAnsi="Times New Roman" w:cs="Times New Roman"/>
          <w:sz w:val="24"/>
        </w:rPr>
        <w:t>to social issues may align meanings between sellers and targets by drawing on specific vocabularies of motive that connect with the sets of norms targets use to evaluate issues (see Figure 1</w:t>
      </w:r>
      <w:r w:rsidR="00E80B3C">
        <w:rPr>
          <w:rFonts w:ascii="Times New Roman" w:eastAsia="Times New Roman" w:hAnsi="Times New Roman" w:cs="Times New Roman"/>
          <w:sz w:val="24"/>
        </w:rPr>
        <w:t xml:space="preserve"> for links with proposition keys</w:t>
      </w:r>
      <w:r w:rsidRPr="00E75558">
        <w:rPr>
          <w:rFonts w:ascii="Times New Roman" w:eastAsia="Times New Roman" w:hAnsi="Times New Roman" w:cs="Times New Roman"/>
          <w:sz w:val="24"/>
        </w:rPr>
        <w:t xml:space="preserve">): </w:t>
      </w:r>
    </w:p>
    <w:p w:rsidR="00FF2A8D" w:rsidRPr="00E75558" w:rsidRDefault="00FF2A8D" w:rsidP="00FF2A8D">
      <w:pPr>
        <w:pStyle w:val="Normal1"/>
        <w:spacing w:line="480" w:lineRule="auto"/>
        <w:ind w:left="400"/>
        <w:rPr>
          <w:rFonts w:ascii="Times New Roman" w:eastAsia="Times New Roman" w:hAnsi="Times New Roman" w:cs="Times New Roman"/>
          <w:i/>
          <w:sz w:val="24"/>
          <w:szCs w:val="24"/>
        </w:rPr>
      </w:pPr>
      <w:r w:rsidRPr="00E75558">
        <w:rPr>
          <w:rFonts w:ascii="Times New Roman" w:eastAsia="Times New Roman" w:hAnsi="Times New Roman" w:cs="Times New Roman"/>
          <w:i/>
          <w:sz w:val="24"/>
          <w:szCs w:val="24"/>
        </w:rPr>
        <w:t>Proposition 3a: Motivations to address social issues built on restricted vocabularies (3) will likely promote positive propriety judgments when the target’s adherence to the social welfare logic is low (a).</w:t>
      </w:r>
    </w:p>
    <w:p w:rsidR="00FF2A8D" w:rsidRPr="00E75558" w:rsidRDefault="00FF2A8D" w:rsidP="00FF2A8D">
      <w:pPr>
        <w:pStyle w:val="Normal1"/>
        <w:spacing w:line="480" w:lineRule="auto"/>
        <w:ind w:left="400"/>
        <w:rPr>
          <w:rFonts w:ascii="Times New Roman" w:eastAsia="Times New Roman" w:hAnsi="Times New Roman" w:cs="Times New Roman"/>
          <w:i/>
          <w:sz w:val="24"/>
          <w:szCs w:val="24"/>
        </w:rPr>
      </w:pPr>
      <w:r w:rsidRPr="00E75558">
        <w:rPr>
          <w:rFonts w:ascii="Times New Roman" w:eastAsia="Times New Roman" w:hAnsi="Times New Roman" w:cs="Times New Roman"/>
          <w:i/>
          <w:sz w:val="24"/>
          <w:szCs w:val="24"/>
        </w:rPr>
        <w:t>Proposition 3b: Motivations to address social issues built on elaborated vocabularies (4) will likely promote positive propriety judgments when the target’s adherence to the social welfare logic is high (b).</w:t>
      </w:r>
    </w:p>
    <w:p w:rsidR="00FF2A8D" w:rsidRPr="00E75558" w:rsidRDefault="00FF2A8D" w:rsidP="00FF2A8D">
      <w:pPr>
        <w:pStyle w:val="Normal1"/>
        <w:spacing w:line="480" w:lineRule="auto"/>
        <w:rPr>
          <w:rFonts w:ascii="Times New Roman" w:hAnsi="Times New Roman"/>
          <w:b/>
          <w:sz w:val="24"/>
        </w:rPr>
      </w:pPr>
      <w:r w:rsidRPr="00E75558">
        <w:rPr>
          <w:rFonts w:ascii="Times New Roman" w:eastAsia="Times New Roman" w:hAnsi="Times New Roman" w:cs="Times New Roman"/>
          <w:b/>
          <w:sz w:val="24"/>
        </w:rPr>
        <w:t>Social issue selling approaches</w:t>
      </w:r>
    </w:p>
    <w:p w:rsidR="00FF2A8D" w:rsidRPr="00E75558" w:rsidRDefault="00FF2A8D" w:rsidP="00FF2A8D">
      <w:pPr>
        <w:pStyle w:val="Normal1"/>
        <w:spacing w:line="480" w:lineRule="auto"/>
        <w:ind w:firstLine="400"/>
        <w:rPr>
          <w:rFonts w:ascii="Times New Roman" w:hAnsi="Times New Roman"/>
          <w:sz w:val="24"/>
        </w:rPr>
      </w:pPr>
      <w:r w:rsidRPr="00E75558">
        <w:rPr>
          <w:rFonts w:ascii="Times New Roman" w:eastAsia="Times New Roman" w:hAnsi="Times New Roman" w:cs="Times New Roman"/>
          <w:sz w:val="24"/>
        </w:rPr>
        <w:t xml:space="preserve">Although elaborated vocabularies would be the most authentic </w:t>
      </w:r>
      <w:r>
        <w:rPr>
          <w:rFonts w:ascii="Times New Roman" w:eastAsia="Times New Roman" w:hAnsi="Times New Roman" w:cs="Times New Roman"/>
          <w:sz w:val="24"/>
        </w:rPr>
        <w:t xml:space="preserve">means </w:t>
      </w:r>
      <w:r w:rsidRPr="00E75558">
        <w:rPr>
          <w:rFonts w:ascii="Times New Roman" w:eastAsia="Times New Roman" w:hAnsi="Times New Roman" w:cs="Times New Roman"/>
          <w:sz w:val="24"/>
        </w:rPr>
        <w:t xml:space="preserve">to motivate integrative solutions, and restricted vocabularies to motivate win-win solutions, sellers proposing both types of solutions will usually have to engage targets </w:t>
      </w:r>
      <w:r>
        <w:rPr>
          <w:rFonts w:ascii="Times New Roman" w:eastAsia="Times New Roman" w:hAnsi="Times New Roman" w:cs="Times New Roman"/>
          <w:sz w:val="24"/>
        </w:rPr>
        <w:t>who hold</w:t>
      </w:r>
      <w:r w:rsidRPr="00E75558">
        <w:rPr>
          <w:rFonts w:ascii="Times New Roman" w:eastAsia="Times New Roman" w:hAnsi="Times New Roman" w:cs="Times New Roman"/>
          <w:sz w:val="24"/>
        </w:rPr>
        <w:t xml:space="preserve"> different levels of adherence to the social welfare logic. Particularly in these cases, the issue seller may prevent negative reactions by adopting a ‘logic of appropriateness’ (Campbell, 2005), and attempting to influence the recognition of social issues as both strategically relevant and viable. We thus suggest that, subject to how logics are enacted in organizations and by targets, solutions and motivations can be combined </w:t>
      </w:r>
      <w:r>
        <w:rPr>
          <w:rFonts w:ascii="Times New Roman" w:eastAsia="Times New Roman" w:hAnsi="Times New Roman" w:cs="Times New Roman"/>
          <w:sz w:val="24"/>
        </w:rPr>
        <w:t>to represent</w:t>
      </w:r>
      <w:r w:rsidRPr="00E75558">
        <w:rPr>
          <w:rFonts w:ascii="Times New Roman" w:eastAsia="Times New Roman" w:hAnsi="Times New Roman" w:cs="Times New Roman"/>
          <w:sz w:val="24"/>
        </w:rPr>
        <w:t xml:space="preserve"> four </w:t>
      </w:r>
      <w:r>
        <w:rPr>
          <w:rFonts w:ascii="Times New Roman" w:eastAsia="Times New Roman" w:hAnsi="Times New Roman" w:cs="Times New Roman"/>
          <w:sz w:val="24"/>
        </w:rPr>
        <w:t>distinct</w:t>
      </w:r>
      <w:r w:rsidRPr="00E75558">
        <w:rPr>
          <w:rFonts w:ascii="Times New Roman" w:eastAsia="Times New Roman" w:hAnsi="Times New Roman" w:cs="Times New Roman"/>
          <w:sz w:val="24"/>
        </w:rPr>
        <w:t xml:space="preserve"> social issue selling approaches</w:t>
      </w:r>
      <w:r>
        <w:rPr>
          <w:rFonts w:ascii="Times New Roman" w:eastAsia="Times New Roman" w:hAnsi="Times New Roman" w:cs="Times New Roman"/>
          <w:sz w:val="24"/>
        </w:rPr>
        <w:t>:</w:t>
      </w:r>
      <w:r w:rsidR="004F09D8">
        <w:rPr>
          <w:rFonts w:ascii="Times New Roman" w:eastAsia="Times New Roman" w:hAnsi="Times New Roman" w:cs="Times New Roman"/>
          <w:sz w:val="24"/>
        </w:rPr>
        <w:t xml:space="preserve"> </w:t>
      </w:r>
      <w:r w:rsidRPr="00E75558">
        <w:rPr>
          <w:rFonts w:ascii="Times New Roman" w:eastAsia="Times New Roman" w:hAnsi="Times New Roman" w:cs="Times New Roman"/>
          <w:sz w:val="24"/>
        </w:rPr>
        <w:t>the cost-benefit sell, the enlightened self-interest sell</w:t>
      </w:r>
      <w:r w:rsidR="004F09D8">
        <w:rPr>
          <w:rFonts w:ascii="Times New Roman" w:eastAsia="Times New Roman" w:hAnsi="Times New Roman" w:cs="Times New Roman"/>
          <w:sz w:val="24"/>
        </w:rPr>
        <w:t xml:space="preserve">, </w:t>
      </w:r>
      <w:r w:rsidR="004F09D8" w:rsidRPr="00E75558">
        <w:rPr>
          <w:rFonts w:ascii="Times New Roman" w:eastAsia="Times New Roman" w:hAnsi="Times New Roman" w:cs="Times New Roman"/>
          <w:sz w:val="24"/>
        </w:rPr>
        <w:t>the Trojan horse sell</w:t>
      </w:r>
      <w:r w:rsidR="004F09D8">
        <w:rPr>
          <w:rFonts w:ascii="Times New Roman" w:eastAsia="Times New Roman" w:hAnsi="Times New Roman" w:cs="Times New Roman"/>
          <w:sz w:val="24"/>
        </w:rPr>
        <w:t>, and the paradoxical sell</w:t>
      </w:r>
      <w:r w:rsidRPr="00E75558">
        <w:rPr>
          <w:rFonts w:ascii="Times New Roman" w:eastAsia="Times New Roman" w:hAnsi="Times New Roman" w:cs="Times New Roman"/>
          <w:sz w:val="24"/>
        </w:rPr>
        <w:t xml:space="preserve"> (see Figure 2). We next describe these selling approaches, referring to the key used in our propositions and Figure 1 to note links to the process model advanced above.</w:t>
      </w:r>
    </w:p>
    <w:p w:rsidR="00FF2A8D" w:rsidRPr="00E75558" w:rsidRDefault="00FF2A8D" w:rsidP="00FF2A8D">
      <w:pPr>
        <w:pStyle w:val="Normal1"/>
        <w:spacing w:line="480" w:lineRule="auto"/>
        <w:jc w:val="center"/>
        <w:rPr>
          <w:rFonts w:ascii="Times New Roman" w:hAnsi="Times New Roman"/>
          <w:sz w:val="24"/>
        </w:rPr>
      </w:pPr>
      <w:r w:rsidRPr="00E75558">
        <w:rPr>
          <w:rFonts w:ascii="Times New Roman" w:eastAsia="Times New Roman" w:hAnsi="Times New Roman" w:cs="Times New Roman"/>
          <w:sz w:val="24"/>
        </w:rPr>
        <w:t>---------------------------------------------</w:t>
      </w:r>
    </w:p>
    <w:p w:rsidR="00FF2A8D" w:rsidRPr="00E75558" w:rsidRDefault="00FF2A8D" w:rsidP="00FF2A8D">
      <w:pPr>
        <w:pStyle w:val="Normal1"/>
        <w:spacing w:line="480" w:lineRule="auto"/>
        <w:jc w:val="center"/>
        <w:rPr>
          <w:rFonts w:ascii="Times New Roman" w:hAnsi="Times New Roman"/>
          <w:sz w:val="24"/>
        </w:rPr>
      </w:pPr>
      <w:r w:rsidRPr="00E75558">
        <w:rPr>
          <w:rFonts w:ascii="Times New Roman" w:eastAsia="Times New Roman" w:hAnsi="Times New Roman" w:cs="Times New Roman"/>
          <w:sz w:val="24"/>
        </w:rPr>
        <w:t>INSERT FIGURE 2 ABOUT HERE</w:t>
      </w:r>
    </w:p>
    <w:p w:rsidR="00FF2A8D" w:rsidRPr="00E75558" w:rsidRDefault="00FF2A8D" w:rsidP="00FF2A8D">
      <w:pPr>
        <w:pStyle w:val="Normal1"/>
        <w:spacing w:line="480" w:lineRule="auto"/>
        <w:jc w:val="center"/>
        <w:rPr>
          <w:rFonts w:ascii="Times New Roman" w:hAnsi="Times New Roman"/>
          <w:sz w:val="24"/>
        </w:rPr>
      </w:pPr>
      <w:r w:rsidRPr="00E75558">
        <w:rPr>
          <w:rFonts w:ascii="Times New Roman" w:eastAsia="Times New Roman" w:hAnsi="Times New Roman" w:cs="Times New Roman"/>
          <w:sz w:val="24"/>
        </w:rPr>
        <w:t>---------------------------------------------</w:t>
      </w:r>
    </w:p>
    <w:p w:rsidR="00FF2A8D" w:rsidRPr="00E75558" w:rsidRDefault="00FF2A8D" w:rsidP="00FF2A8D">
      <w:pPr>
        <w:pStyle w:val="Normal1"/>
        <w:spacing w:line="480" w:lineRule="auto"/>
        <w:ind w:firstLine="403"/>
        <w:rPr>
          <w:rFonts w:ascii="Times New Roman" w:eastAsia="Times New Roman" w:hAnsi="Times New Roman" w:cs="Times New Roman"/>
          <w:sz w:val="24"/>
        </w:rPr>
      </w:pPr>
      <w:r w:rsidRPr="00E75558">
        <w:rPr>
          <w:rFonts w:ascii="Times New Roman" w:eastAsia="Times New Roman" w:hAnsi="Times New Roman" w:cs="Times New Roman"/>
          <w:sz w:val="24"/>
        </w:rPr>
        <w:t xml:space="preserve">The </w:t>
      </w:r>
      <w:r w:rsidRPr="009A41A7">
        <w:rPr>
          <w:rFonts w:ascii="Times New Roman" w:eastAsia="Times New Roman" w:hAnsi="Times New Roman" w:cs="Times New Roman"/>
          <w:i/>
          <w:sz w:val="24"/>
        </w:rPr>
        <w:t>cost-benefit</w:t>
      </w:r>
      <w:r w:rsidRPr="00E75558">
        <w:rPr>
          <w:rFonts w:ascii="Times New Roman" w:eastAsia="Times New Roman" w:hAnsi="Times New Roman" w:cs="Times New Roman"/>
          <w:sz w:val="24"/>
        </w:rPr>
        <w:t xml:space="preserve"> </w:t>
      </w:r>
      <w:r w:rsidRPr="009A41A7">
        <w:rPr>
          <w:rFonts w:ascii="Times New Roman" w:eastAsia="Times New Roman" w:hAnsi="Times New Roman" w:cs="Times New Roman"/>
          <w:i/>
          <w:sz w:val="24"/>
        </w:rPr>
        <w:t>sell</w:t>
      </w:r>
      <w:r w:rsidRPr="00E75558">
        <w:rPr>
          <w:rFonts w:ascii="Times New Roman" w:eastAsia="Times New Roman" w:hAnsi="Times New Roman" w:cs="Times New Roman"/>
          <w:sz w:val="24"/>
        </w:rPr>
        <w:t xml:space="preserve"> may occur when the seller interprets compatibility between the commercial and social welfare logics as potentially high (A), and the target’s level of adherence to the social welfare logic as low (a). In this case, the seller would design a win-win solution (1) to a given social issue, and attempt to motivate the selling target with a restricted vocabulary (3). We call this selling approach cost-benefit because both the solution and the motivation attached to it </w:t>
      </w:r>
      <w:r>
        <w:rPr>
          <w:rFonts w:ascii="Times New Roman" w:eastAsia="Times New Roman" w:hAnsi="Times New Roman" w:cs="Times New Roman"/>
          <w:sz w:val="24"/>
        </w:rPr>
        <w:t>subordinate</w:t>
      </w:r>
      <w:r w:rsidRPr="00E75558">
        <w:rPr>
          <w:rFonts w:ascii="Times New Roman" w:eastAsia="Times New Roman" w:hAnsi="Times New Roman" w:cs="Times New Roman"/>
          <w:sz w:val="24"/>
        </w:rPr>
        <w:t xml:space="preserve"> the social issue to financial concerns (Oliver, 1991). Through this approach, the seller evokes the commercial interests of the organization and the selling target. Although the proposed solution may contribute to social value creation, it is advanced on the basis of win-win arguments (Kreps and Monin, 2013), and thus can be best promoted through restricted vocabularies that emphasize instrumental motives. The earlier examples of Hugh Saddington at Telstra (Grayson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2014) and of the environmental specialist linking emissions to manufacturing goals at Chipco (Howard-Grenville, 2007) illustrate this selling approach.</w:t>
      </w:r>
    </w:p>
    <w:p w:rsidR="00FF2A8D" w:rsidRPr="00E75558" w:rsidRDefault="00FF2A8D" w:rsidP="00FF2A8D">
      <w:pPr>
        <w:pStyle w:val="Normal1"/>
        <w:spacing w:line="480" w:lineRule="auto"/>
        <w:ind w:firstLine="403"/>
        <w:rPr>
          <w:rFonts w:ascii="Times New Roman" w:eastAsia="Times New Roman" w:hAnsi="Times New Roman" w:cs="Times New Roman"/>
          <w:sz w:val="24"/>
        </w:rPr>
      </w:pPr>
      <w:r w:rsidRPr="00E75558">
        <w:rPr>
          <w:rFonts w:ascii="Times New Roman" w:eastAsia="Times New Roman" w:hAnsi="Times New Roman" w:cs="Times New Roman"/>
          <w:sz w:val="24"/>
        </w:rPr>
        <w:t xml:space="preserve">The </w:t>
      </w:r>
      <w:r w:rsidRPr="00484B01">
        <w:rPr>
          <w:rFonts w:ascii="Times New Roman" w:eastAsia="Times New Roman" w:hAnsi="Times New Roman" w:cs="Times New Roman"/>
          <w:i/>
          <w:sz w:val="24"/>
        </w:rPr>
        <w:t>enlightened self-interest sell</w:t>
      </w:r>
      <w:r w:rsidRPr="00E75558">
        <w:rPr>
          <w:rFonts w:ascii="Times New Roman" w:eastAsia="Times New Roman" w:hAnsi="Times New Roman" w:cs="Times New Roman"/>
          <w:sz w:val="24"/>
        </w:rPr>
        <w:t xml:space="preserve"> may also occur when the seller interprets compatibility between the commercial and social welfare logics as potentially high (A). However</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in this case, the selling target is perceived to have a high level of adherence to the social welfare logic (b), leading the seller to motivate a win-win solution (1) through an elaborated vocabulary (4). We call this approach enlightened self-interest because the motivation attached to the proposed solution attempts to balance </w:t>
      </w:r>
      <w:r>
        <w:rPr>
          <w:rFonts w:ascii="Times New Roman" w:eastAsia="Times New Roman" w:hAnsi="Times New Roman" w:cs="Times New Roman"/>
          <w:sz w:val="24"/>
        </w:rPr>
        <w:t>the idea’s</w:t>
      </w:r>
      <w:r w:rsidRPr="00E75558">
        <w:rPr>
          <w:rFonts w:ascii="Times New Roman" w:eastAsia="Times New Roman" w:hAnsi="Times New Roman" w:cs="Times New Roman"/>
          <w:sz w:val="24"/>
        </w:rPr>
        <w:t xml:space="preserve"> commercial and social value (Oliver, 1991). Targets of this selling approach are perceived to have a more differentiated belief structure, and to welcome the possibility of ‘doing well while doing good</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Although the designed solution clearly aligns social concerns with commercial goals, the motivation to justify it goes beyond economic reasons, highlighting relational and moral motives. This approach can be observed in Bansal’s (2003) example of the manufacturing company Alpha, where employees successfully sold an office-waste management issue </w:t>
      </w:r>
      <w:r w:rsidRPr="00E75558">
        <w:rPr>
          <w:rFonts w:ascii="Times New Roman" w:eastAsia="Times New Roman" w:hAnsi="Times New Roman" w:cs="Times New Roman"/>
          <w:color w:val="auto"/>
          <w:sz w:val="24"/>
          <w:szCs w:val="24"/>
        </w:rPr>
        <w:t>by referring to ‘corporate citizenship’</w:t>
      </w:r>
      <w:r w:rsidR="00151437">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szCs w:val="24"/>
        </w:rPr>
        <w:t xml:space="preserve"> ‘added value’</w:t>
      </w:r>
      <w:r w:rsidR="00151437">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szCs w:val="24"/>
        </w:rPr>
        <w:t xml:space="preserve"> and ‘quality’</w:t>
      </w:r>
      <w:r w:rsidR="00151437">
        <w:rPr>
          <w:rFonts w:ascii="Times New Roman" w:eastAsia="Times New Roman" w:hAnsi="Times New Roman" w:cs="Times New Roman"/>
          <w:color w:val="auto"/>
          <w:sz w:val="24"/>
          <w:szCs w:val="24"/>
        </w:rPr>
        <w:t>.</w:t>
      </w:r>
      <w:r w:rsidRPr="00E75558">
        <w:rPr>
          <w:rFonts w:ascii="Times New Roman" w:eastAsia="Times New Roman" w:hAnsi="Times New Roman" w:cs="Times New Roman"/>
          <w:sz w:val="24"/>
        </w:rPr>
        <w:t xml:space="preserve"> In the example of Danish biotech Novozymes, top managers were also perceived as supportive of the social welfare logic (Olsen and Boxenbaum, 2009). </w:t>
      </w:r>
      <w:r>
        <w:rPr>
          <w:rFonts w:ascii="Times New Roman" w:eastAsia="Times New Roman" w:hAnsi="Times New Roman" w:cs="Times New Roman"/>
          <w:sz w:val="24"/>
        </w:rPr>
        <w:t>To promote</w:t>
      </w:r>
      <w:r w:rsidRPr="00E75558">
        <w:rPr>
          <w:rFonts w:ascii="Times New Roman" w:eastAsia="Times New Roman" w:hAnsi="Times New Roman" w:cs="Times New Roman"/>
          <w:sz w:val="24"/>
        </w:rPr>
        <w:t xml:space="preserve"> the idea of an enzyme technology that could increase the nutritional value of basic food products, one of the sellers at Novozymes linked the solution to the United Nations Millennium Development Goals, and </w:t>
      </w:r>
      <w:r>
        <w:rPr>
          <w:rFonts w:ascii="Times New Roman" w:eastAsia="Times New Roman" w:hAnsi="Times New Roman" w:cs="Times New Roman"/>
          <w:sz w:val="24"/>
        </w:rPr>
        <w:t>simultaneously</w:t>
      </w:r>
      <w:r w:rsidRPr="00E75558">
        <w:rPr>
          <w:rFonts w:ascii="Times New Roman" w:eastAsia="Times New Roman" w:hAnsi="Times New Roman" w:cs="Times New Roman"/>
          <w:sz w:val="24"/>
        </w:rPr>
        <w:t xml:space="preserve"> to the commercial potential of bottom of the pyramid markets.</w:t>
      </w:r>
    </w:p>
    <w:p w:rsidR="00FF2A8D" w:rsidRPr="00E75558" w:rsidRDefault="00FF2A8D" w:rsidP="00FF2A8D">
      <w:pPr>
        <w:pStyle w:val="Normal1"/>
        <w:spacing w:line="480" w:lineRule="auto"/>
        <w:ind w:firstLine="403"/>
        <w:rPr>
          <w:rFonts w:ascii="Times New Roman" w:eastAsia="Times New Roman" w:hAnsi="Times New Roman" w:cs="Times New Roman"/>
          <w:sz w:val="24"/>
        </w:rPr>
      </w:pPr>
      <w:r w:rsidRPr="00E75558">
        <w:rPr>
          <w:rFonts w:ascii="Times New Roman" w:eastAsia="Times New Roman" w:hAnsi="Times New Roman" w:cs="Times New Roman"/>
          <w:sz w:val="24"/>
        </w:rPr>
        <w:t xml:space="preserve">The </w:t>
      </w:r>
      <w:r w:rsidRPr="005369AC">
        <w:rPr>
          <w:rFonts w:ascii="Times New Roman" w:eastAsia="Times New Roman" w:hAnsi="Times New Roman" w:cs="Times New Roman"/>
          <w:i/>
          <w:sz w:val="24"/>
        </w:rPr>
        <w:t>Trojan horse sell</w:t>
      </w:r>
      <w:r w:rsidRPr="00E75558">
        <w:rPr>
          <w:rFonts w:ascii="Times New Roman" w:eastAsia="Times New Roman" w:hAnsi="Times New Roman" w:cs="Times New Roman"/>
          <w:sz w:val="24"/>
        </w:rPr>
        <w:t xml:space="preserve"> may occur when the seller interprets compatibility between the commercial and social welfare logics as potentially low (B), and the target’s level of adherence to the social welfare logic as low (a). In this case, the seller may design an integrative solution (2) to a given social issue, and attempt to motivate the selling target with a restricted vocabulary (3). We </w:t>
      </w:r>
      <w:r>
        <w:rPr>
          <w:rFonts w:ascii="Times New Roman" w:eastAsia="Times New Roman" w:hAnsi="Times New Roman" w:cs="Times New Roman"/>
          <w:sz w:val="24"/>
        </w:rPr>
        <w:t>label</w:t>
      </w:r>
      <w:r w:rsidRPr="00E75558">
        <w:rPr>
          <w:rFonts w:ascii="Times New Roman" w:eastAsia="Times New Roman" w:hAnsi="Times New Roman" w:cs="Times New Roman"/>
          <w:sz w:val="24"/>
        </w:rPr>
        <w:t xml:space="preserve"> this approach the Trojan horse because the motivation attached to the solution for the social issue conceals its integrative nature. Targets of this selling approach are perceived to have a less differentiated belief structure and a high level of embeddedness in financial institutions, usually associated with profit maximization, </w:t>
      </w:r>
      <w:r>
        <w:rPr>
          <w:rFonts w:ascii="Times New Roman" w:eastAsia="Times New Roman" w:hAnsi="Times New Roman" w:cs="Times New Roman"/>
          <w:sz w:val="24"/>
        </w:rPr>
        <w:t>diminished</w:t>
      </w:r>
      <w:r w:rsidRPr="00E75558">
        <w:rPr>
          <w:rFonts w:ascii="Times New Roman" w:eastAsia="Times New Roman" w:hAnsi="Times New Roman" w:cs="Times New Roman"/>
          <w:sz w:val="24"/>
        </w:rPr>
        <w:t xml:space="preserve"> cooperation</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and </w:t>
      </w:r>
      <w:r>
        <w:rPr>
          <w:rFonts w:ascii="Times New Roman" w:eastAsia="Times New Roman" w:hAnsi="Times New Roman" w:cs="Times New Roman"/>
          <w:sz w:val="24"/>
        </w:rPr>
        <w:t>low</w:t>
      </w:r>
      <w:r w:rsidRPr="00E75558">
        <w:rPr>
          <w:rFonts w:ascii="Times New Roman" w:eastAsia="Times New Roman" w:hAnsi="Times New Roman" w:cs="Times New Roman"/>
          <w:sz w:val="24"/>
        </w:rPr>
        <w:t xml:space="preserve"> altruism (Almandoz, 2012). Through this approach, the seller pursues the approval of the target by subordinating the social issue to financial concerns. Creed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’s (2002</w:t>
      </w:r>
      <w:r>
        <w:rPr>
          <w:rFonts w:ascii="Times New Roman" w:eastAsia="Times New Roman" w:hAnsi="Times New Roman" w:cs="Times New Roman"/>
          <w:sz w:val="24"/>
        </w:rPr>
        <w:t>a</w:t>
      </w:r>
      <w:r w:rsidRPr="00E75558">
        <w:rPr>
          <w:rFonts w:ascii="Times New Roman" w:eastAsia="Times New Roman" w:hAnsi="Times New Roman" w:cs="Times New Roman"/>
          <w:sz w:val="24"/>
        </w:rPr>
        <w:t xml:space="preserve">) account of how groups of employees promoted policies for eliminating workplace discrimination against LGBT may exemplify this approach. </w:t>
      </w:r>
      <w:r>
        <w:rPr>
          <w:rFonts w:ascii="Times New Roman" w:eastAsia="Times New Roman" w:hAnsi="Times New Roman" w:cs="Times New Roman"/>
          <w:sz w:val="24"/>
        </w:rPr>
        <w:t>Specifically, though</w:t>
      </w:r>
      <w:r w:rsidRPr="00E75558">
        <w:rPr>
          <w:rFonts w:ascii="Times New Roman" w:eastAsia="Times New Roman" w:hAnsi="Times New Roman" w:cs="Times New Roman"/>
          <w:sz w:val="24"/>
        </w:rPr>
        <w:t xml:space="preserve"> some organizations demonstrated strong corporate citizenship, employees had to develop a business case for nondiscrimination to </w:t>
      </w:r>
      <w:r>
        <w:rPr>
          <w:rFonts w:ascii="Times New Roman" w:eastAsia="Times New Roman" w:hAnsi="Times New Roman" w:cs="Times New Roman"/>
          <w:sz w:val="24"/>
        </w:rPr>
        <w:t>sway</w:t>
      </w:r>
      <w:r w:rsidRPr="00E75558">
        <w:rPr>
          <w:rFonts w:ascii="Times New Roman" w:eastAsia="Times New Roman" w:hAnsi="Times New Roman" w:cs="Times New Roman"/>
          <w:sz w:val="24"/>
        </w:rPr>
        <w:t xml:space="preserve"> decision-makers concerned with costs. The selling of an IBM ‘Corporate Peace Corps’ by Kevin Thompson also has characteristics of a Trojan horse approach. Even when changes in the organizational logic opened space for his idea, it had to be justified on the basis of contributing to cost effectiveness in internationalization and the potential </w:t>
      </w:r>
      <w:r>
        <w:rPr>
          <w:rFonts w:ascii="Times New Roman" w:eastAsia="Times New Roman" w:hAnsi="Times New Roman" w:cs="Times New Roman"/>
          <w:sz w:val="24"/>
        </w:rPr>
        <w:t>to gain</w:t>
      </w:r>
      <w:r w:rsidRPr="00E75558">
        <w:rPr>
          <w:rFonts w:ascii="Times New Roman" w:eastAsia="Times New Roman" w:hAnsi="Times New Roman" w:cs="Times New Roman"/>
          <w:sz w:val="24"/>
        </w:rPr>
        <w:t xml:space="preserve"> experience in new markets (Davis and White, 2015).</w:t>
      </w:r>
    </w:p>
    <w:p w:rsidR="00FF2A8D" w:rsidRPr="00E75558" w:rsidRDefault="00FF2A8D" w:rsidP="00FF2A8D">
      <w:pPr>
        <w:pStyle w:val="Normal1"/>
        <w:spacing w:line="480" w:lineRule="auto"/>
        <w:ind w:firstLine="403"/>
        <w:rPr>
          <w:rFonts w:ascii="Times New Roman" w:eastAsia="Times New Roman" w:hAnsi="Times New Roman" w:cs="Times New Roman"/>
          <w:sz w:val="24"/>
        </w:rPr>
      </w:pPr>
      <w:r w:rsidRPr="00E75558">
        <w:rPr>
          <w:rFonts w:ascii="Times New Roman" w:eastAsia="Times New Roman" w:hAnsi="Times New Roman" w:cs="Times New Roman"/>
          <w:sz w:val="24"/>
        </w:rPr>
        <w:t xml:space="preserve">Lastly, the </w:t>
      </w:r>
      <w:r w:rsidRPr="005369AC">
        <w:rPr>
          <w:rFonts w:ascii="Times New Roman" w:eastAsia="Times New Roman" w:hAnsi="Times New Roman" w:cs="Times New Roman"/>
          <w:i/>
          <w:sz w:val="24"/>
        </w:rPr>
        <w:t>paradoxical sell</w:t>
      </w:r>
      <w:r w:rsidRPr="00E75558">
        <w:rPr>
          <w:rFonts w:ascii="Times New Roman" w:eastAsia="Times New Roman" w:hAnsi="Times New Roman" w:cs="Times New Roman"/>
          <w:sz w:val="24"/>
        </w:rPr>
        <w:t xml:space="preserve"> may also occur when the seller interprets compatibility between commercial and social welfare logics as potentially low (B). However</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in this case, the selling target is perceived to have a high level of adherence to the social welfare logic (b), leading the seller to motivate an integrative solution (2) through an elaborated vocabulary (4). We call this selling approach paradoxical because both the solution and the motivation attached to it demonstrate that elements often seen as contradictory can co-exist (Lewis, 2000; Smith and Lewis, 2011)</w:t>
      </w:r>
      <w:r>
        <w:rPr>
          <w:rFonts w:ascii="Times New Roman" w:eastAsia="Times New Roman" w:hAnsi="Times New Roman" w:cs="Times New Roman"/>
          <w:sz w:val="24"/>
        </w:rPr>
        <w:t>;</w:t>
      </w:r>
      <w:r w:rsidRPr="00E75558">
        <w:rPr>
          <w:rFonts w:ascii="Times New Roman" w:eastAsia="Times New Roman" w:hAnsi="Times New Roman" w:cs="Times New Roman"/>
          <w:sz w:val="24"/>
        </w:rPr>
        <w:t xml:space="preserve"> that is, that the tensions that may arise between social value creation and the bottom line can be successfully managed. Through this approach, the seller identifies ‘both/and’ solutions and motivations, leveraging the “synergies and distinctions of the opposing elements” (Lewis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p. 61), and juxtaposing economic and social concerns (Hahn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This approach can also be considered the most authentic for sellers of integrative solutions. Because integrative solutions are complex and combine multiple frame elements (Gao and Bansal, 2013; Hahn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xml:space="preserve">, 2014), such solutions are best motivated through elaborated vocabularies. If the seller perceives the target to have a more differentiated belief structure (Dutton and Ashford, 1993) and to be supportive of the social welfare logic, integrative solutions can be linked to relational and moral motives. In this case, the social issue does not imply subordination to a financial concern (Kreps and Monin, 2013). This selling approach is typified in the previous examples of Gib Bulloch at Accenture, and Jo da Silva at Arup (Grayson </w:t>
      </w:r>
      <w:r w:rsidRPr="002A2443">
        <w:rPr>
          <w:rFonts w:ascii="Times New Roman" w:eastAsia="Times New Roman" w:hAnsi="Times New Roman" w:cs="Times New Roman"/>
          <w:i/>
          <w:sz w:val="24"/>
        </w:rPr>
        <w:t>et al.</w:t>
      </w:r>
      <w:r w:rsidRPr="00E75558">
        <w:rPr>
          <w:rFonts w:ascii="Times New Roman" w:eastAsia="Times New Roman" w:hAnsi="Times New Roman" w:cs="Times New Roman"/>
          <w:sz w:val="24"/>
        </w:rPr>
        <w:t>, 2014).</w:t>
      </w:r>
    </w:p>
    <w:p w:rsidR="00FF2A8D" w:rsidRPr="00E75558" w:rsidRDefault="00FF2A8D" w:rsidP="00FF2A8D">
      <w:pPr>
        <w:pStyle w:val="Normal1"/>
        <w:spacing w:line="480" w:lineRule="auto"/>
        <w:ind w:firstLine="400"/>
        <w:rPr>
          <w:rFonts w:ascii="Times New Roman" w:eastAsia="Times New Roman" w:hAnsi="Times New Roman" w:cs="Times New Roman"/>
          <w:sz w:val="24"/>
          <w:szCs w:val="24"/>
        </w:rPr>
      </w:pPr>
      <w:r w:rsidRPr="00E75558">
        <w:rPr>
          <w:rFonts w:ascii="Times New Roman" w:eastAsia="Times New Roman" w:hAnsi="Times New Roman" w:cs="Times New Roman"/>
          <w:sz w:val="24"/>
          <w:szCs w:val="24"/>
        </w:rPr>
        <w:t xml:space="preserve">The four selling approaches described above illustrate the different ways in which successful social issue selling can unfold in for-profit organizations. In practice, sellers may mix and match tentative solutions and motivations with different contexts and targets to </w:t>
      </w:r>
      <w:r>
        <w:rPr>
          <w:rFonts w:ascii="Times New Roman" w:eastAsia="Times New Roman" w:hAnsi="Times New Roman" w:cs="Times New Roman"/>
          <w:sz w:val="24"/>
          <w:szCs w:val="24"/>
        </w:rPr>
        <w:t xml:space="preserve">achieve </w:t>
      </w:r>
      <w:r w:rsidRPr="00E75558">
        <w:rPr>
          <w:rFonts w:ascii="Times New Roman" w:eastAsia="Times New Roman" w:hAnsi="Times New Roman" w:cs="Times New Roman"/>
          <w:sz w:val="24"/>
          <w:szCs w:val="24"/>
        </w:rPr>
        <w:t xml:space="preserve">varying degrees of success. Yet these ideal selling approaches suggest what type of solutions (win-win or integrative) and vocabularies of motive (restricted or elaborated) are likely to connect with the meaning systems of organizations and targets, and generate positive legitimacy judgments that enable social issue selling </w:t>
      </w:r>
      <w:r>
        <w:rPr>
          <w:rFonts w:ascii="Times New Roman" w:eastAsia="Times New Roman" w:hAnsi="Times New Roman" w:cs="Times New Roman"/>
          <w:sz w:val="24"/>
          <w:szCs w:val="24"/>
        </w:rPr>
        <w:t>success</w:t>
      </w:r>
      <w:r w:rsidRPr="00E75558">
        <w:rPr>
          <w:rFonts w:ascii="Times New Roman" w:eastAsia="Times New Roman" w:hAnsi="Times New Roman" w:cs="Times New Roman"/>
          <w:sz w:val="24"/>
          <w:szCs w:val="24"/>
        </w:rPr>
        <w:t xml:space="preserve">. A paradoxical selling approach would have little effect with companies and targets like those described in Howard-Grenville’s (2007) study. Likewise, a cost-benefit sell would fail to tap into the passion of supporters and the organizational ethos of companies like Arup (Grayson </w:t>
      </w:r>
      <w:r w:rsidRPr="002A2443">
        <w:rPr>
          <w:rFonts w:ascii="Times New Roman" w:eastAsia="Times New Roman" w:hAnsi="Times New Roman" w:cs="Times New Roman"/>
          <w:i/>
          <w:sz w:val="24"/>
          <w:szCs w:val="24"/>
        </w:rPr>
        <w:t>et al.</w:t>
      </w:r>
      <w:r w:rsidRPr="00E75558">
        <w:rPr>
          <w:rFonts w:ascii="Times New Roman" w:eastAsia="Times New Roman" w:hAnsi="Times New Roman" w:cs="Times New Roman"/>
          <w:sz w:val="24"/>
          <w:szCs w:val="24"/>
        </w:rPr>
        <w:t>, 2014).</w:t>
      </w:r>
    </w:p>
    <w:p w:rsidR="00FF2A8D" w:rsidRPr="00E75558" w:rsidRDefault="00FF2A8D" w:rsidP="00FF2A8D">
      <w:pPr>
        <w:pStyle w:val="Normal1"/>
        <w:spacing w:line="480" w:lineRule="auto"/>
        <w:ind w:firstLine="400"/>
        <w:rPr>
          <w:rFonts w:ascii="Times New Roman" w:eastAsia="Times New Roman" w:hAnsi="Times New Roman" w:cs="Times New Roman"/>
          <w:sz w:val="24"/>
          <w:szCs w:val="24"/>
        </w:rPr>
      </w:pPr>
      <w:r w:rsidRPr="00E75558">
        <w:rPr>
          <w:rFonts w:ascii="Times New Roman" w:eastAsia="Times New Roman" w:hAnsi="Times New Roman" w:cs="Times New Roman"/>
          <w:sz w:val="24"/>
          <w:szCs w:val="24"/>
        </w:rPr>
        <w:t>In summary, logics and vocabularies are the materials social issue sellers employ to craft framing tasks and interact with selling targets. We suggest that the degree to which the prognostic and motivational framing of a social issue engender</w:t>
      </w:r>
      <w:r>
        <w:rPr>
          <w:rFonts w:ascii="Times New Roman" w:eastAsia="Times New Roman" w:hAnsi="Times New Roman" w:cs="Times New Roman"/>
          <w:sz w:val="24"/>
          <w:szCs w:val="24"/>
        </w:rPr>
        <w:t>s</w:t>
      </w:r>
      <w:r w:rsidRPr="00E75558">
        <w:rPr>
          <w:rFonts w:ascii="Times New Roman" w:eastAsia="Times New Roman" w:hAnsi="Times New Roman" w:cs="Times New Roman"/>
          <w:sz w:val="24"/>
          <w:szCs w:val="24"/>
        </w:rPr>
        <w:t xml:space="preserve"> conditional support is mediated by the legitimacy judgments of selling targets</w:t>
      </w:r>
      <w:r>
        <w:rPr>
          <w:rFonts w:ascii="Times New Roman" w:eastAsia="Times New Roman" w:hAnsi="Times New Roman" w:cs="Times New Roman"/>
          <w:sz w:val="24"/>
          <w:szCs w:val="24"/>
        </w:rPr>
        <w:t>,</w:t>
      </w:r>
      <w:r w:rsidRPr="00E75558">
        <w:rPr>
          <w:rFonts w:ascii="Times New Roman" w:eastAsia="Times New Roman" w:hAnsi="Times New Roman" w:cs="Times New Roman"/>
          <w:sz w:val="24"/>
          <w:szCs w:val="24"/>
        </w:rPr>
        <w:t xml:space="preserve"> such that support is stronger when framing tasks connect with both validity beliefs and propriety judgments (Bitektine and Haack, 2015). Importantly, we do not assume that the support of key selling targets automatically translates into the acceptance of proposed solutions and their implementation. The idea that support is conditional reminds us that framing is a negotiation of meaning (Cornelissen and Werner, 2014), and that other factors beyond the scope of the seller-target interaction may also determine </w:t>
      </w:r>
      <w:r>
        <w:rPr>
          <w:rFonts w:ascii="Times New Roman" w:eastAsia="Times New Roman" w:hAnsi="Times New Roman" w:cs="Times New Roman"/>
          <w:sz w:val="24"/>
          <w:szCs w:val="24"/>
        </w:rPr>
        <w:t>a selling initiative’s</w:t>
      </w:r>
      <w:r w:rsidRPr="00E75558">
        <w:rPr>
          <w:rFonts w:ascii="Times New Roman" w:eastAsia="Times New Roman" w:hAnsi="Times New Roman" w:cs="Times New Roman"/>
          <w:sz w:val="24"/>
          <w:szCs w:val="24"/>
        </w:rPr>
        <w:t xml:space="preserve"> success. These initial encounters between sellers and targets, however, may play an important role in shaping social innovation in for-profit organizations, as our model illustrates.</w:t>
      </w:r>
    </w:p>
    <w:p w:rsidR="00FF2A8D" w:rsidRPr="00E75558" w:rsidRDefault="00FF2A8D" w:rsidP="00FF2A8D">
      <w:pPr>
        <w:pStyle w:val="BodyTextIndent"/>
        <w:spacing w:line="480" w:lineRule="auto"/>
        <w:ind w:firstLine="0"/>
        <w:jc w:val="center"/>
        <w:rPr>
          <w:b/>
          <w:caps/>
          <w:szCs w:val="24"/>
        </w:rPr>
      </w:pPr>
      <w:r w:rsidRPr="00E75558">
        <w:rPr>
          <w:b/>
          <w:caps/>
          <w:szCs w:val="24"/>
        </w:rPr>
        <w:t>Discussion AND CONCLUSION</w:t>
      </w:r>
    </w:p>
    <w:p w:rsidR="00FF2A8D" w:rsidRPr="00E75558" w:rsidRDefault="00FF2A8D" w:rsidP="00FF2A8D">
      <w:pPr>
        <w:pStyle w:val="Normal1"/>
        <w:spacing w:line="480" w:lineRule="auto"/>
        <w:ind w:firstLine="720"/>
        <w:rPr>
          <w:rFonts w:ascii="Times New Roman" w:hAnsi="Times New Roman"/>
          <w:sz w:val="24"/>
          <w:szCs w:val="24"/>
        </w:rPr>
      </w:pPr>
      <w:r w:rsidRPr="00E75558">
        <w:rPr>
          <w:rFonts w:ascii="Times New Roman" w:eastAsia="Times New Roman" w:hAnsi="Times New Roman" w:cs="Times New Roman"/>
          <w:color w:val="auto"/>
          <w:sz w:val="24"/>
          <w:szCs w:val="24"/>
        </w:rPr>
        <w:t xml:space="preserve">In this paper, we explain the process by which the tactics of social issue sellers in for-profit organizations may align </w:t>
      </w:r>
      <w:r w:rsidRPr="00E75558">
        <w:rPr>
          <w:rFonts w:ascii="Times New Roman" w:hAnsi="Times New Roman"/>
          <w:sz w:val="24"/>
          <w:szCs w:val="24"/>
        </w:rPr>
        <w:t>with meanings held by organizations and targets of selling initiatives. We advance understanding of issue selling by proposing how sellers may draw on knowledge of logics (Besharov and Smith, 2014) and vocabularies of motive (</w:t>
      </w:r>
      <w:r w:rsidRPr="00E75558">
        <w:rPr>
          <w:rFonts w:ascii="Times New Roman" w:eastAsia="Times New Roman" w:hAnsi="Times New Roman" w:cs="Times New Roman"/>
          <w:color w:val="auto"/>
          <w:sz w:val="24"/>
        </w:rPr>
        <w:t xml:space="preserve">Snow and Benford, 1992) to </w:t>
      </w:r>
      <w:r w:rsidRPr="00E75558">
        <w:rPr>
          <w:rFonts w:ascii="Times New Roman" w:hAnsi="Times New Roman"/>
          <w:sz w:val="24"/>
          <w:szCs w:val="24"/>
        </w:rPr>
        <w:t>craft prognostic and motivational framing tasks (Benford and Snow, 2000) that promote targets’ legitimacy judgments (Bitektine and Haack, 2015; Tost, 2011). While issue selling has been a topic of interest for researchers of social issues in management (Bansal, 2003; Howard-Grenville, 2007; Sonenshein, 2006, 2014), prior research has c</w:t>
      </w:r>
      <w:r w:rsidRPr="00E75558">
        <w:rPr>
          <w:rFonts w:ascii="Times New Roman" w:hAnsi="Times New Roman"/>
          <w:sz w:val="24"/>
        </w:rPr>
        <w:t xml:space="preserve">onflated the craft of solutions (prognostic framing) with that of motivations (motivational framing), and overlooked the ways in which sellers can reconcile context and target signals to advance social issues. We complement and extend this research </w:t>
      </w:r>
      <w:r>
        <w:rPr>
          <w:rFonts w:ascii="Times New Roman" w:hAnsi="Times New Roman"/>
          <w:sz w:val="24"/>
        </w:rPr>
        <w:t>by forwarding</w:t>
      </w:r>
      <w:r w:rsidRPr="00E75558">
        <w:rPr>
          <w:rFonts w:ascii="Times New Roman" w:hAnsi="Times New Roman"/>
          <w:sz w:val="24"/>
        </w:rPr>
        <w:t xml:space="preserve"> a set of propositions and four selling approaches</w:t>
      </w:r>
      <w:r w:rsidRPr="00E75558">
        <w:rPr>
          <w:rFonts w:ascii="Times New Roman" w:hAnsi="Times New Roman"/>
          <w:sz w:val="24"/>
          <w:szCs w:val="24"/>
        </w:rPr>
        <w:t xml:space="preserve"> t</w:t>
      </w:r>
      <w:r w:rsidRPr="00E75558">
        <w:rPr>
          <w:rFonts w:ascii="Times New Roman" w:hAnsi="Times New Roman"/>
          <w:sz w:val="24"/>
        </w:rPr>
        <w:t xml:space="preserve">hat illustrate how sellers can successfully craft </w:t>
      </w:r>
      <w:r>
        <w:rPr>
          <w:rFonts w:ascii="Times New Roman" w:hAnsi="Times New Roman"/>
          <w:sz w:val="24"/>
        </w:rPr>
        <w:t xml:space="preserve">tentative </w:t>
      </w:r>
      <w:r w:rsidRPr="00E75558">
        <w:rPr>
          <w:rFonts w:ascii="Times New Roman" w:hAnsi="Times New Roman"/>
          <w:sz w:val="24"/>
        </w:rPr>
        <w:t xml:space="preserve">solutions and motivations to social issues, </w:t>
      </w:r>
      <w:r w:rsidRPr="00E75558">
        <w:rPr>
          <w:rFonts w:ascii="Times New Roman" w:hAnsi="Times New Roman"/>
          <w:sz w:val="24"/>
          <w:szCs w:val="24"/>
        </w:rPr>
        <w:t>shedding light on the intricate relationships of meaning-making by sellers, organizations, and selling targets when contrasting logics are involved.</w:t>
      </w:r>
    </w:p>
    <w:p w:rsidR="00FF2A8D" w:rsidRPr="00E75558"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Since our focus is on the framing processes in issue selling, this raises the question of whether selling and framing are interchangeable terms in our account. We see framing as a key component of the broader selling process, and we argue that two characteristics of the selling process distinguish it from other accounts of strategic framing. First, issue selling is a “critical activity in the early stages of organizational decision-making processes” (Dutton and Ashford, 1993, p. 397). Second, it is mainly a bottom-up process.</w:t>
      </w:r>
      <w:r>
        <w:rPr>
          <w:rFonts w:ascii="Times New Roman" w:eastAsia="Times New Roman" w:hAnsi="Times New Roman" w:cs="Times New Roman"/>
          <w:color w:val="auto"/>
          <w:sz w:val="24"/>
          <w:szCs w:val="24"/>
        </w:rPr>
        <w:t xml:space="preserve"> </w:t>
      </w:r>
      <w:r w:rsidRPr="00E75558">
        <w:rPr>
          <w:rFonts w:ascii="Times New Roman" w:eastAsia="Times New Roman" w:hAnsi="Times New Roman" w:cs="Times New Roman"/>
          <w:color w:val="auto"/>
          <w:sz w:val="24"/>
          <w:szCs w:val="24"/>
        </w:rPr>
        <w:t xml:space="preserve">In contrast, research </w:t>
      </w:r>
      <w:r>
        <w:rPr>
          <w:rFonts w:ascii="Times New Roman" w:eastAsia="Times New Roman" w:hAnsi="Times New Roman" w:cs="Times New Roman"/>
          <w:color w:val="auto"/>
          <w:sz w:val="24"/>
          <w:szCs w:val="24"/>
        </w:rPr>
        <w:t>on</w:t>
      </w:r>
      <w:r w:rsidRPr="00E75558">
        <w:rPr>
          <w:rFonts w:ascii="Times New Roman" w:eastAsia="Times New Roman" w:hAnsi="Times New Roman" w:cs="Times New Roman"/>
          <w:color w:val="auto"/>
          <w:sz w:val="24"/>
          <w:szCs w:val="24"/>
        </w:rPr>
        <w:t xml:space="preserve"> framing in organizational settings has traditionally focused, with exceptions (e.g., Creed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2002</w:t>
      </w:r>
      <w:r>
        <w:rPr>
          <w:rFonts w:ascii="Times New Roman" w:eastAsia="Times New Roman" w:hAnsi="Times New Roman" w:cs="Times New Roman"/>
          <w:color w:val="auto"/>
          <w:sz w:val="24"/>
          <w:szCs w:val="24"/>
        </w:rPr>
        <w:t>a</w:t>
      </w:r>
      <w:r w:rsidRPr="00E75558">
        <w:rPr>
          <w:rFonts w:ascii="Times New Roman" w:eastAsia="Times New Roman" w:hAnsi="Times New Roman" w:cs="Times New Roman"/>
          <w:color w:val="auto"/>
          <w:sz w:val="24"/>
          <w:szCs w:val="24"/>
        </w:rPr>
        <w:t xml:space="preserve">), on framing initiated by top managers or institutional actors (e.g., regulators) at multiple stages of organizational decision-making processes (e.g., Etzion and Ferraro, 2010; Fiss and Zajac, 2006; Kellogg, 2009; Sonenshein, 2010). This differentiation is important because in issue selling the seller, or group of sellers, “does not have the authority to make impactful decisions, but can initiate proactive actions to create strategic input that will persuade top management to consider and authorize preferable actions” (Pandza, 2011, p. 1018). </w:t>
      </w:r>
    </w:p>
    <w:p w:rsidR="00FF2A8D" w:rsidRDefault="00FF2A8D" w:rsidP="00FF2A8D">
      <w:pPr>
        <w:pStyle w:val="Normal1"/>
        <w:spacing w:line="480" w:lineRule="auto"/>
        <w:ind w:firstLine="720"/>
        <w:rPr>
          <w:rFonts w:ascii="Times New Roman" w:eastAsia="Times New Roman" w:hAnsi="Times New Roman" w:cs="Times New Roman"/>
          <w:color w:val="auto"/>
          <w:sz w:val="24"/>
          <w:szCs w:val="24"/>
        </w:rPr>
      </w:pPr>
      <w:r w:rsidRPr="00E75558">
        <w:rPr>
          <w:rFonts w:ascii="Times New Roman" w:eastAsia="Times New Roman" w:hAnsi="Times New Roman" w:cs="Times New Roman"/>
          <w:color w:val="auto"/>
          <w:sz w:val="24"/>
          <w:szCs w:val="24"/>
        </w:rPr>
        <w:t xml:space="preserve">Hence, we suggest that a focus on framing as a mechanism of issue selling can enrich both literatures. The framing lenses </w:t>
      </w:r>
      <w:r>
        <w:rPr>
          <w:rFonts w:ascii="Times New Roman" w:eastAsia="Times New Roman" w:hAnsi="Times New Roman" w:cs="Times New Roman"/>
          <w:color w:val="auto"/>
          <w:sz w:val="24"/>
          <w:szCs w:val="24"/>
        </w:rPr>
        <w:t>recast selling as a conversation</w:t>
      </w:r>
      <w:r w:rsidRPr="00E75558">
        <w:rPr>
          <w:rFonts w:ascii="Times New Roman" w:eastAsia="Times New Roman" w:hAnsi="Times New Roman" w:cs="Times New Roman"/>
          <w:color w:val="auto"/>
          <w:sz w:val="24"/>
          <w:szCs w:val="24"/>
        </w:rPr>
        <w:t xml:space="preserve">, and </w:t>
      </w:r>
      <w:r>
        <w:rPr>
          <w:rFonts w:ascii="Times New Roman" w:eastAsia="Times New Roman" w:hAnsi="Times New Roman" w:cs="Times New Roman"/>
          <w:color w:val="auto"/>
          <w:sz w:val="24"/>
          <w:szCs w:val="24"/>
        </w:rPr>
        <w:t xml:space="preserve">as </w:t>
      </w:r>
      <w:r w:rsidRPr="00E75558">
        <w:rPr>
          <w:rFonts w:ascii="Times New Roman" w:eastAsia="Times New Roman" w:hAnsi="Times New Roman" w:cs="Times New Roman"/>
          <w:color w:val="auto"/>
          <w:sz w:val="24"/>
          <w:szCs w:val="24"/>
        </w:rPr>
        <w:t>a proces</w:t>
      </w:r>
      <w:r>
        <w:rPr>
          <w:rFonts w:ascii="Times New Roman" w:eastAsia="Times New Roman" w:hAnsi="Times New Roman" w:cs="Times New Roman"/>
          <w:color w:val="auto"/>
          <w:sz w:val="24"/>
          <w:szCs w:val="24"/>
        </w:rPr>
        <w:t xml:space="preserve">s rooted in social interaction, in which the seller’s ability cannot be separated from the target’s response. Furthermore, </w:t>
      </w:r>
      <w:r w:rsidRPr="00E75558">
        <w:rPr>
          <w:rFonts w:ascii="Times New Roman" w:eastAsia="Times New Roman" w:hAnsi="Times New Roman" w:cs="Times New Roman"/>
          <w:color w:val="auto"/>
          <w:sz w:val="24"/>
          <w:szCs w:val="24"/>
        </w:rPr>
        <w:t xml:space="preserve">by looking at framing from the perspective of prognostic and motivational tasks, </w:t>
      </w:r>
      <w:r>
        <w:rPr>
          <w:rFonts w:ascii="Times New Roman" w:eastAsia="Times New Roman" w:hAnsi="Times New Roman" w:cs="Times New Roman"/>
          <w:color w:val="auto"/>
          <w:sz w:val="24"/>
          <w:szCs w:val="24"/>
        </w:rPr>
        <w:t xml:space="preserve">we gain insight into both the discursive and </w:t>
      </w:r>
      <w:r w:rsidRPr="00E75558">
        <w:rPr>
          <w:rFonts w:ascii="Times New Roman" w:eastAsia="Times New Roman" w:hAnsi="Times New Roman" w:cs="Times New Roman"/>
          <w:color w:val="auto"/>
          <w:sz w:val="24"/>
          <w:szCs w:val="24"/>
        </w:rPr>
        <w:t>ideational aspects of selling initiatives</w:t>
      </w:r>
      <w:r>
        <w:rPr>
          <w:rFonts w:ascii="Times New Roman" w:eastAsia="Times New Roman" w:hAnsi="Times New Roman" w:cs="Times New Roman"/>
          <w:color w:val="auto"/>
          <w:sz w:val="24"/>
          <w:szCs w:val="24"/>
        </w:rPr>
        <w:t xml:space="preserve">. </w:t>
      </w:r>
      <w:r w:rsidRPr="00E75558">
        <w:rPr>
          <w:rFonts w:ascii="Times New Roman" w:eastAsia="Times New Roman" w:hAnsi="Times New Roman" w:cs="Times New Roman"/>
          <w:color w:val="auto"/>
          <w:sz w:val="24"/>
          <w:szCs w:val="24"/>
        </w:rPr>
        <w:t>At the same time, the attributes that are specific to issue selling processes</w:t>
      </w:r>
      <w:r w:rsidRPr="00E75558">
        <w:rPr>
          <w:rFonts w:ascii="Times New Roman" w:hAnsi="Times New Roman"/>
          <w:color w:val="auto"/>
          <w:sz w:val="24"/>
        </w:rPr>
        <w:t>—</w:t>
      </w:r>
      <w:r w:rsidRPr="00E75558">
        <w:rPr>
          <w:rFonts w:ascii="Times New Roman" w:eastAsia="Times New Roman" w:hAnsi="Times New Roman" w:cs="Times New Roman"/>
          <w:color w:val="auto"/>
          <w:sz w:val="24"/>
          <w:szCs w:val="24"/>
        </w:rPr>
        <w:t>namely</w:t>
      </w:r>
      <w:r>
        <w:rPr>
          <w:rFonts w:ascii="Times New Roman" w:eastAsia="Times New Roman" w:hAnsi="Times New Roman" w:cs="Times New Roman"/>
          <w:color w:val="auto"/>
          <w:sz w:val="24"/>
          <w:szCs w:val="24"/>
        </w:rPr>
        <w:t>,</w:t>
      </w:r>
      <w:r w:rsidRPr="00E7555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sellers’</w:t>
      </w:r>
      <w:r w:rsidRPr="00E75558">
        <w:rPr>
          <w:rFonts w:ascii="Times New Roman" w:eastAsia="Times New Roman" w:hAnsi="Times New Roman" w:cs="Times New Roman"/>
          <w:color w:val="auto"/>
          <w:sz w:val="24"/>
          <w:szCs w:val="24"/>
        </w:rPr>
        <w:t xml:space="preserve"> lack of authority and their intent to initiate strategic change</w:t>
      </w:r>
      <w:r w:rsidRPr="00E75558">
        <w:rPr>
          <w:rFonts w:ascii="Times New Roman" w:hAnsi="Times New Roman"/>
          <w:color w:val="auto"/>
          <w:sz w:val="24"/>
        </w:rPr>
        <w:t>—</w:t>
      </w:r>
      <w:r>
        <w:rPr>
          <w:rFonts w:ascii="Times New Roman" w:hAnsi="Times New Roman"/>
          <w:color w:val="auto"/>
          <w:sz w:val="24"/>
        </w:rPr>
        <w:t xml:space="preserve">may </w:t>
      </w:r>
      <w:r>
        <w:rPr>
          <w:rFonts w:ascii="Times New Roman" w:eastAsia="Times New Roman" w:hAnsi="Times New Roman" w:cs="Times New Roman"/>
          <w:color w:val="auto"/>
          <w:sz w:val="24"/>
          <w:szCs w:val="24"/>
        </w:rPr>
        <w:t>shed</w:t>
      </w:r>
      <w:r w:rsidRPr="00E75558">
        <w:rPr>
          <w:rFonts w:ascii="Times New Roman" w:eastAsia="Times New Roman" w:hAnsi="Times New Roman" w:cs="Times New Roman"/>
          <w:color w:val="auto"/>
          <w:sz w:val="24"/>
          <w:szCs w:val="24"/>
        </w:rPr>
        <w:t xml:space="preserve"> light on the ‘small encounters’ (Snow </w:t>
      </w:r>
      <w:r w:rsidRPr="002A2443">
        <w:rPr>
          <w:rFonts w:ascii="Times New Roman" w:eastAsia="Times New Roman" w:hAnsi="Times New Roman" w:cs="Times New Roman"/>
          <w:i/>
          <w:color w:val="auto"/>
          <w:sz w:val="24"/>
          <w:szCs w:val="24"/>
        </w:rPr>
        <w:t>et al.</w:t>
      </w:r>
      <w:r w:rsidRPr="00E75558">
        <w:rPr>
          <w:rFonts w:ascii="Times New Roman" w:eastAsia="Times New Roman" w:hAnsi="Times New Roman" w:cs="Times New Roman"/>
          <w:color w:val="auto"/>
          <w:sz w:val="24"/>
          <w:szCs w:val="24"/>
        </w:rPr>
        <w:t xml:space="preserve">, 1986) between social movement entrepreneurs and targets, </w:t>
      </w:r>
      <w:r>
        <w:rPr>
          <w:rFonts w:ascii="Times New Roman" w:eastAsia="Times New Roman" w:hAnsi="Times New Roman" w:cs="Times New Roman"/>
          <w:color w:val="auto"/>
          <w:sz w:val="24"/>
          <w:szCs w:val="24"/>
        </w:rPr>
        <w:t>enhancing</w:t>
      </w:r>
      <w:r w:rsidRPr="00E75558">
        <w:rPr>
          <w:rFonts w:ascii="Times New Roman" w:eastAsia="Times New Roman" w:hAnsi="Times New Roman" w:cs="Times New Roman"/>
          <w:color w:val="auto"/>
          <w:sz w:val="24"/>
          <w:szCs w:val="24"/>
        </w:rPr>
        <w:t xml:space="preserve"> explanations </w:t>
      </w:r>
      <w:r w:rsidRPr="006B6E07">
        <w:rPr>
          <w:rFonts w:ascii="Times New Roman" w:eastAsia="Times New Roman" w:hAnsi="Times New Roman" w:cs="Times New Roman"/>
          <w:color w:val="auto"/>
          <w:sz w:val="24"/>
          <w:szCs w:val="24"/>
        </w:rPr>
        <w:t xml:space="preserve">of how frame resonance is achieved through interaction (Cornelissen </w:t>
      </w:r>
      <w:r w:rsidRPr="002A2443">
        <w:rPr>
          <w:rFonts w:ascii="Times New Roman" w:eastAsia="Times New Roman" w:hAnsi="Times New Roman" w:cs="Times New Roman"/>
          <w:i/>
          <w:color w:val="auto"/>
          <w:sz w:val="24"/>
          <w:szCs w:val="24"/>
        </w:rPr>
        <w:t>et al.</w:t>
      </w:r>
      <w:r w:rsidRPr="006B6E07">
        <w:rPr>
          <w:rFonts w:ascii="Times New Roman" w:eastAsia="Times New Roman" w:hAnsi="Times New Roman" w:cs="Times New Roman"/>
          <w:color w:val="auto"/>
          <w:sz w:val="24"/>
          <w:szCs w:val="24"/>
        </w:rPr>
        <w:t xml:space="preserve">, 2015; Snow </w:t>
      </w:r>
      <w:r w:rsidRPr="002A2443">
        <w:rPr>
          <w:rFonts w:ascii="Times New Roman" w:eastAsia="Times New Roman" w:hAnsi="Times New Roman" w:cs="Times New Roman"/>
          <w:i/>
          <w:color w:val="auto"/>
          <w:sz w:val="24"/>
          <w:szCs w:val="24"/>
        </w:rPr>
        <w:t>et al.</w:t>
      </w:r>
      <w:r w:rsidRPr="006B6E07">
        <w:rPr>
          <w:rFonts w:ascii="Times New Roman" w:eastAsia="Times New Roman" w:hAnsi="Times New Roman" w:cs="Times New Roman"/>
          <w:color w:val="auto"/>
          <w:sz w:val="24"/>
          <w:szCs w:val="24"/>
        </w:rPr>
        <w:t>, 2014).</w:t>
      </w:r>
    </w:p>
    <w:p w:rsidR="00FF2A8D" w:rsidRDefault="00FF2A8D" w:rsidP="00FF2A8D">
      <w:pPr>
        <w:pStyle w:val="Normal1"/>
        <w:spacing w:line="480" w:lineRule="auto"/>
        <w:ind w:firstLine="720"/>
        <w:rPr>
          <w:rFonts w:ascii="Times New Roman" w:eastAsia="Times New Roman" w:hAnsi="Times New Roman" w:cs="Times New Roman"/>
          <w:color w:val="auto"/>
          <w:sz w:val="24"/>
          <w:szCs w:val="24"/>
        </w:rPr>
      </w:pPr>
      <w:r w:rsidRPr="006B6E07">
        <w:rPr>
          <w:rFonts w:ascii="Times New Roman" w:eastAsia="Times New Roman" w:hAnsi="Times New Roman" w:cs="Times New Roman"/>
          <w:color w:val="auto"/>
          <w:sz w:val="24"/>
          <w:szCs w:val="24"/>
        </w:rPr>
        <w:t xml:space="preserve">While framing processes provide us with a language (Zald, 2008) to talk about how social movements may emerge in organizations through the work of issue sellers, </w:t>
      </w:r>
      <w:r>
        <w:rPr>
          <w:rFonts w:ascii="Times New Roman" w:eastAsia="Times New Roman" w:hAnsi="Times New Roman" w:cs="Times New Roman"/>
          <w:color w:val="auto"/>
          <w:sz w:val="24"/>
          <w:szCs w:val="24"/>
        </w:rPr>
        <w:t xml:space="preserve">our </w:t>
      </w:r>
      <w:r w:rsidRPr="006B6E07">
        <w:rPr>
          <w:rFonts w:ascii="Times New Roman" w:eastAsia="Times New Roman" w:hAnsi="Times New Roman" w:cs="Times New Roman"/>
          <w:color w:val="auto"/>
          <w:sz w:val="24"/>
          <w:szCs w:val="24"/>
        </w:rPr>
        <w:t xml:space="preserve">attention to logics </w:t>
      </w:r>
      <w:r>
        <w:rPr>
          <w:rFonts w:ascii="Times New Roman" w:eastAsia="Times New Roman" w:hAnsi="Times New Roman" w:cs="Times New Roman"/>
          <w:color w:val="auto"/>
          <w:sz w:val="24"/>
          <w:szCs w:val="24"/>
        </w:rPr>
        <w:t>builds on trends in rhetorical institutionalism literature (Green and Li, 2011) to shed light on the politics of issue selling. By linking institutional logics to the work of social issue sellers, we offer</w:t>
      </w:r>
      <w:r w:rsidRPr="006B6E07">
        <w:rPr>
          <w:rFonts w:ascii="Times New Roman" w:eastAsia="Times New Roman" w:hAnsi="Times New Roman" w:cs="Times New Roman"/>
          <w:color w:val="auto"/>
          <w:sz w:val="24"/>
          <w:szCs w:val="24"/>
        </w:rPr>
        <w:t xml:space="preserve"> a more nuanced understanding of context and target signals for selling</w:t>
      </w:r>
      <w:r>
        <w:rPr>
          <w:rFonts w:ascii="Times New Roman" w:eastAsia="Times New Roman" w:hAnsi="Times New Roman" w:cs="Times New Roman"/>
          <w:color w:val="auto"/>
          <w:sz w:val="24"/>
          <w:szCs w:val="24"/>
        </w:rPr>
        <w:t xml:space="preserve">, suggesting how sellers can </w:t>
      </w:r>
      <w:r w:rsidRPr="00F07F8D">
        <w:rPr>
          <w:rFonts w:ascii="Times New Roman" w:hAnsi="Times New Roman" w:cs="Lucida Grande"/>
          <w:color w:val="auto"/>
          <w:sz w:val="24"/>
          <w:szCs w:val="24"/>
        </w:rPr>
        <w:t>ta</w:t>
      </w:r>
      <w:r>
        <w:rPr>
          <w:rFonts w:ascii="Times New Roman" w:hAnsi="Times New Roman" w:cs="Lucida Grande"/>
          <w:color w:val="auto"/>
          <w:sz w:val="24"/>
          <w:szCs w:val="24"/>
        </w:rPr>
        <w:t>p into broader discourses and targets’</w:t>
      </w:r>
      <w:r w:rsidRPr="00F07F8D">
        <w:rPr>
          <w:rFonts w:ascii="Times New Roman" w:hAnsi="Times New Roman" w:cs="Lucida Grande"/>
          <w:color w:val="auto"/>
          <w:sz w:val="24"/>
          <w:szCs w:val="24"/>
        </w:rPr>
        <w:t xml:space="preserve"> interests</w:t>
      </w:r>
      <w:r>
        <w:rPr>
          <w:rFonts w:ascii="Times New Roman" w:hAnsi="Times New Roman" w:cs="Lucida Grande"/>
          <w:color w:val="auto"/>
          <w:sz w:val="24"/>
          <w:szCs w:val="24"/>
        </w:rPr>
        <w:t xml:space="preserve"> to craft credible, a</w:t>
      </w:r>
      <w:r w:rsidRPr="00F07F8D">
        <w:rPr>
          <w:rFonts w:ascii="Times New Roman" w:hAnsi="Times New Roman" w:cs="Lucida Grande"/>
          <w:color w:val="auto"/>
          <w:sz w:val="24"/>
          <w:szCs w:val="24"/>
        </w:rPr>
        <w:t xml:space="preserve">ttractive </w:t>
      </w:r>
      <w:r>
        <w:rPr>
          <w:rFonts w:ascii="Times New Roman" w:hAnsi="Times New Roman" w:cs="Lucida Grande"/>
          <w:color w:val="auto"/>
          <w:sz w:val="24"/>
          <w:szCs w:val="24"/>
        </w:rPr>
        <w:t xml:space="preserve">stories for different audiences </w:t>
      </w:r>
      <w:r w:rsidRPr="00F07F8D">
        <w:rPr>
          <w:rFonts w:ascii="Times New Roman" w:hAnsi="Times New Roman" w:cs="Lucida Grande"/>
          <w:color w:val="auto"/>
          <w:sz w:val="24"/>
          <w:szCs w:val="24"/>
        </w:rPr>
        <w:t>(Lefsrud and Jennings, 2014</w:t>
      </w:r>
      <w:r>
        <w:rPr>
          <w:rFonts w:ascii="Times New Roman" w:hAnsi="Times New Roman" w:cs="Lucida Grande"/>
          <w:color w:val="auto"/>
          <w:sz w:val="24"/>
          <w:szCs w:val="24"/>
        </w:rPr>
        <w:t xml:space="preserve">; Martens </w:t>
      </w:r>
      <w:r w:rsidRPr="002A2443">
        <w:rPr>
          <w:rFonts w:ascii="Times New Roman" w:hAnsi="Times New Roman" w:cs="Lucida Grande"/>
          <w:i/>
          <w:color w:val="auto"/>
          <w:sz w:val="24"/>
          <w:szCs w:val="24"/>
        </w:rPr>
        <w:t>et al.</w:t>
      </w:r>
      <w:r>
        <w:rPr>
          <w:rFonts w:ascii="Times New Roman" w:hAnsi="Times New Roman" w:cs="Lucida Grande"/>
          <w:color w:val="auto"/>
          <w:sz w:val="24"/>
          <w:szCs w:val="24"/>
        </w:rPr>
        <w:t>, 2007</w:t>
      </w:r>
      <w:r w:rsidRPr="00F07F8D">
        <w:rPr>
          <w:rFonts w:ascii="Times New Roman" w:hAnsi="Times New Roman" w:cs="Lucida Grande"/>
          <w:color w:val="auto"/>
          <w:sz w:val="24"/>
          <w:szCs w:val="24"/>
        </w:rPr>
        <w:t>)</w:t>
      </w:r>
      <w:r>
        <w:rPr>
          <w:rFonts w:ascii="Times New Roman" w:hAnsi="Times New Roman" w:cs="Lucida Grande"/>
          <w:color w:val="auto"/>
          <w:sz w:val="24"/>
          <w:szCs w:val="24"/>
        </w:rPr>
        <w:t>.</w:t>
      </w:r>
    </w:p>
    <w:p w:rsidR="00FF2A8D" w:rsidRPr="00BC41D2" w:rsidRDefault="00FF2A8D" w:rsidP="00FF2A8D">
      <w:pPr>
        <w:pStyle w:val="Normal1"/>
        <w:spacing w:line="480" w:lineRule="auto"/>
        <w:ind w:firstLine="720"/>
        <w:rPr>
          <w:rFonts w:ascii="Times New Roman" w:eastAsia="Times New Roman" w:hAnsi="Times New Roman" w:cs="Times New Roman"/>
          <w:color w:val="auto"/>
          <w:sz w:val="24"/>
          <w:szCs w:val="24"/>
        </w:rPr>
      </w:pPr>
      <w:r w:rsidRPr="006B6E07">
        <w:rPr>
          <w:rFonts w:ascii="Times New Roman" w:eastAsia="Times New Roman" w:hAnsi="Times New Roman" w:cs="Times New Roman"/>
          <w:color w:val="auto"/>
          <w:sz w:val="24"/>
          <w:szCs w:val="24"/>
        </w:rPr>
        <w:t>W</w:t>
      </w:r>
      <w:r w:rsidRPr="006B6E07">
        <w:rPr>
          <w:rFonts w:ascii="Times New Roman" w:hAnsi="Times New Roman"/>
          <w:sz w:val="24"/>
          <w:szCs w:val="24"/>
        </w:rPr>
        <w:t>e consider</w:t>
      </w:r>
      <w:r>
        <w:rPr>
          <w:rFonts w:ascii="Times New Roman" w:hAnsi="Times New Roman"/>
          <w:sz w:val="24"/>
          <w:szCs w:val="24"/>
        </w:rPr>
        <w:t>, also,</w:t>
      </w:r>
      <w:r w:rsidRPr="006B6E07">
        <w:rPr>
          <w:rFonts w:ascii="Times New Roman" w:hAnsi="Times New Roman"/>
          <w:sz w:val="24"/>
          <w:szCs w:val="24"/>
        </w:rPr>
        <w:t xml:space="preserve"> </w:t>
      </w:r>
      <w:r w:rsidRPr="006B6E07">
        <w:rPr>
          <w:rFonts w:ascii="Times New Roman" w:hAnsi="Times New Roman"/>
          <w:sz w:val="24"/>
        </w:rPr>
        <w:t xml:space="preserve">that the social welfare logic may develop along a continuum that </w:t>
      </w:r>
      <w:r>
        <w:rPr>
          <w:rFonts w:ascii="Times New Roman" w:hAnsi="Times New Roman"/>
          <w:sz w:val="24"/>
        </w:rPr>
        <w:t>progresses</w:t>
      </w:r>
      <w:r w:rsidRPr="006B6E07">
        <w:rPr>
          <w:rFonts w:ascii="Times New Roman" w:hAnsi="Times New Roman"/>
          <w:sz w:val="24"/>
        </w:rPr>
        <w:t xml:space="preserve"> from avoiding harmful activities to social betterment, and that the commercial logic may develop along a continuum that </w:t>
      </w:r>
      <w:r>
        <w:rPr>
          <w:rFonts w:ascii="Times New Roman" w:hAnsi="Times New Roman"/>
          <w:sz w:val="24"/>
        </w:rPr>
        <w:t>spans</w:t>
      </w:r>
      <w:r w:rsidRPr="006B6E07">
        <w:rPr>
          <w:rFonts w:ascii="Times New Roman" w:hAnsi="Times New Roman"/>
          <w:sz w:val="24"/>
        </w:rPr>
        <w:t xml:space="preserve"> from financial viability to profit maximization. Following this premise, different levels of compatibility between social welfare and commercial logic</w:t>
      </w:r>
      <w:r>
        <w:rPr>
          <w:rFonts w:ascii="Times New Roman" w:hAnsi="Times New Roman"/>
          <w:sz w:val="24"/>
        </w:rPr>
        <w:t>s</w:t>
      </w:r>
      <w:r w:rsidRPr="006B6E07">
        <w:rPr>
          <w:rFonts w:ascii="Times New Roman" w:hAnsi="Times New Roman"/>
          <w:sz w:val="24"/>
        </w:rPr>
        <w:t xml:space="preserve"> are possible at the organizational level (Besharov and Smith, 2014), </w:t>
      </w:r>
      <w:r>
        <w:rPr>
          <w:rFonts w:ascii="Times New Roman" w:hAnsi="Times New Roman"/>
          <w:sz w:val="24"/>
        </w:rPr>
        <w:t>as are</w:t>
      </w:r>
      <w:r w:rsidRPr="006B6E07">
        <w:rPr>
          <w:rFonts w:ascii="Times New Roman" w:hAnsi="Times New Roman"/>
          <w:sz w:val="24"/>
        </w:rPr>
        <w:t xml:space="preserve"> different levels of targets’ adherence to the social welfare logic. Our arguments suggest that sellers who accurately observe logic compatibility and adherence at both levels will be better equipped to craft solutions and motivations that engage selling targets.</w:t>
      </w:r>
    </w:p>
    <w:p w:rsidR="00FF2A8D" w:rsidRDefault="00FF2A8D" w:rsidP="00FF2A8D">
      <w:pPr>
        <w:pStyle w:val="Normal1"/>
        <w:spacing w:line="480" w:lineRule="auto"/>
        <w:ind w:firstLine="720"/>
        <w:rPr>
          <w:rFonts w:ascii="Times New Roman" w:hAnsi="Times New Roman"/>
          <w:sz w:val="24"/>
        </w:rPr>
      </w:pPr>
      <w:r w:rsidRPr="0086552F">
        <w:rPr>
          <w:rFonts w:ascii="Times New Roman" w:hAnsi="Times New Roman"/>
          <w:sz w:val="24"/>
        </w:rPr>
        <w:t xml:space="preserve">In particular, our illustration of selling approaches demonstrates that social issue sellers can galvanize the social responsibility of companies beyond the traditional business case. Although previous research suggests that issue sellers operating in for-profit organizations will usually resort to instrumental framing approaches (Dutton </w:t>
      </w:r>
      <w:r w:rsidRPr="002A2443">
        <w:rPr>
          <w:rFonts w:ascii="Times New Roman" w:hAnsi="Times New Roman"/>
          <w:i/>
          <w:sz w:val="24"/>
        </w:rPr>
        <w:t>et al.</w:t>
      </w:r>
      <w:r w:rsidRPr="0086552F">
        <w:rPr>
          <w:rFonts w:ascii="Times New Roman" w:hAnsi="Times New Roman"/>
          <w:sz w:val="24"/>
        </w:rPr>
        <w:t>, 2001; Sonenshein, 2006), we demonstrate that subject to how organizations enact the</w:t>
      </w:r>
      <w:r>
        <w:rPr>
          <w:rFonts w:ascii="Times New Roman" w:hAnsi="Times New Roman"/>
          <w:sz w:val="24"/>
        </w:rPr>
        <w:t>ir</w:t>
      </w:r>
      <w:r w:rsidRPr="0086552F">
        <w:rPr>
          <w:rFonts w:ascii="Times New Roman" w:hAnsi="Times New Roman"/>
          <w:sz w:val="24"/>
        </w:rPr>
        <w:t xml:space="preserve"> commercial and social welfare logics, issue sellers may find the space to advance integrative solutions (Gao and Bansal, 2013) to social issues. Our propositions hence contribute to a positively deviant view of issue selling (Haigh and Hoffman, 2014), in which sellers may go beyond mainstream practices to create pockets of hybridization in organizations (Battilana and Lee, 2014). This is particularly important because if the social welfare logic can only be enacted in ways that contribute to commercial objectives, this “will mask important potential for positive corporate contributions to sustainable development” (Hahn </w:t>
      </w:r>
      <w:r w:rsidRPr="002A2443">
        <w:rPr>
          <w:rFonts w:ascii="Times New Roman" w:hAnsi="Times New Roman"/>
          <w:i/>
          <w:sz w:val="24"/>
        </w:rPr>
        <w:t>et al.</w:t>
      </w:r>
      <w:r w:rsidRPr="0086552F">
        <w:rPr>
          <w:rFonts w:ascii="Times New Roman" w:hAnsi="Times New Roman"/>
          <w:sz w:val="24"/>
        </w:rPr>
        <w:t>, 2010, p. 218). Hence, high compatibility between commercial and social welfare logics in for-profit contexts may not always be desirable. Furthermore, we also show that subject to the adherence of targets to the social welfare logic,</w:t>
      </w:r>
      <w:r w:rsidRPr="006B6E07">
        <w:rPr>
          <w:rFonts w:ascii="Times New Roman" w:hAnsi="Times New Roman"/>
          <w:sz w:val="24"/>
        </w:rPr>
        <w:t xml:space="preserve"> issue sellers may comfortably use vocabularies that reveal relational and moral motives </w:t>
      </w:r>
      <w:r w:rsidRPr="0086552F">
        <w:rPr>
          <w:rFonts w:ascii="Times New Roman" w:hAnsi="Times New Roman"/>
          <w:sz w:val="24"/>
        </w:rPr>
        <w:t xml:space="preserve">(Aguilera </w:t>
      </w:r>
      <w:r w:rsidRPr="002A2443">
        <w:rPr>
          <w:rFonts w:ascii="Times New Roman" w:hAnsi="Times New Roman"/>
          <w:i/>
          <w:sz w:val="24"/>
        </w:rPr>
        <w:t>et al.</w:t>
      </w:r>
      <w:r w:rsidRPr="0086552F">
        <w:rPr>
          <w:rFonts w:ascii="Times New Roman" w:hAnsi="Times New Roman"/>
          <w:sz w:val="24"/>
        </w:rPr>
        <w:t xml:space="preserve">, 2007; Tost, 2011). This observation highlights that issue selling efforts </w:t>
      </w:r>
      <w:r>
        <w:rPr>
          <w:rFonts w:ascii="Times New Roman" w:hAnsi="Times New Roman"/>
          <w:sz w:val="24"/>
        </w:rPr>
        <w:t>need not</w:t>
      </w:r>
      <w:r w:rsidRPr="0086552F">
        <w:rPr>
          <w:rFonts w:ascii="Times New Roman" w:hAnsi="Times New Roman"/>
          <w:sz w:val="24"/>
        </w:rPr>
        <w:t xml:space="preserve"> lack moral meaning (</w:t>
      </w:r>
      <w:r>
        <w:rPr>
          <w:rFonts w:ascii="Times New Roman" w:hAnsi="Times New Roman"/>
          <w:sz w:val="24"/>
        </w:rPr>
        <w:t xml:space="preserve">Bansal, 2003; </w:t>
      </w:r>
      <w:r w:rsidRPr="0086552F">
        <w:rPr>
          <w:rFonts w:ascii="Times New Roman" w:hAnsi="Times New Roman"/>
          <w:sz w:val="24"/>
        </w:rPr>
        <w:t xml:space="preserve">Crane, 2000), and that social issue sellers may find the scope to pursue initiatives that are both authentic and consistent with their private reasons and beliefs (De Clercq </w:t>
      </w:r>
      <w:r w:rsidRPr="002A2443">
        <w:rPr>
          <w:rFonts w:ascii="Times New Roman" w:hAnsi="Times New Roman"/>
          <w:i/>
          <w:sz w:val="24"/>
        </w:rPr>
        <w:t>et al.</w:t>
      </w:r>
      <w:r w:rsidRPr="0086552F">
        <w:rPr>
          <w:rFonts w:ascii="Times New Roman" w:hAnsi="Times New Roman"/>
          <w:sz w:val="24"/>
        </w:rPr>
        <w:t>, 2011; Meyerson and Scully, 1995; Sonenshein, 2006).</w:t>
      </w:r>
    </w:p>
    <w:p w:rsidR="00FF2A8D" w:rsidRPr="0086552F" w:rsidRDefault="00FF2A8D" w:rsidP="00FF2A8D">
      <w:pPr>
        <w:pStyle w:val="Normal1"/>
        <w:spacing w:line="480" w:lineRule="auto"/>
        <w:ind w:firstLine="720"/>
        <w:rPr>
          <w:rFonts w:ascii="Times New Roman" w:eastAsia="Times New Roman" w:hAnsi="Times New Roman" w:cs="Times New Roman"/>
          <w:color w:val="auto"/>
          <w:sz w:val="24"/>
          <w:szCs w:val="24"/>
        </w:rPr>
      </w:pPr>
      <w:r w:rsidRPr="006B6E07">
        <w:rPr>
          <w:rFonts w:ascii="Times New Roman" w:hAnsi="Times New Roman"/>
          <w:sz w:val="24"/>
        </w:rPr>
        <w:t xml:space="preserve">Collectively, our contributions to issue selling theory also add to the microfoundations of CSR, or the “foundations of CSR that are based on individual action and interaction” (Aguinis and Glavas, 2012, p. 956). By focusing on the role of the internal social change agent, we expand </w:t>
      </w:r>
      <w:r w:rsidRPr="00B91F3D">
        <w:rPr>
          <w:rFonts w:ascii="Times New Roman" w:hAnsi="Times New Roman"/>
          <w:sz w:val="24"/>
        </w:rPr>
        <w:t>recent bottom-up perspectives to the promotion of CSR initiatives (e.g., Sharma and Good, 2013;</w:t>
      </w:r>
      <w:r>
        <w:rPr>
          <w:rFonts w:ascii="Times New Roman" w:hAnsi="Times New Roman"/>
          <w:sz w:val="24"/>
        </w:rPr>
        <w:t xml:space="preserve"> </w:t>
      </w:r>
      <w:r w:rsidRPr="0086552F">
        <w:rPr>
          <w:rFonts w:ascii="Times New Roman" w:hAnsi="Times New Roman"/>
          <w:sz w:val="24"/>
        </w:rPr>
        <w:t>Sonenshein, 2014), and</w:t>
      </w:r>
      <w:r w:rsidRPr="006B6E07">
        <w:rPr>
          <w:rFonts w:ascii="Times New Roman" w:hAnsi="Times New Roman"/>
          <w:sz w:val="24"/>
        </w:rPr>
        <w:t xml:space="preserve"> complement theoretical contributions focused on the cognitive frames of top managers in relation</w:t>
      </w:r>
      <w:r w:rsidRPr="006B6E07">
        <w:rPr>
          <w:rFonts w:ascii="Times New Roman" w:hAnsi="Times New Roman"/>
          <w:sz w:val="24"/>
          <w:szCs w:val="24"/>
        </w:rPr>
        <w:t xml:space="preserve"> to corporate sustainability and stakeholder concerns (e.g., </w:t>
      </w:r>
      <w:r w:rsidRPr="006B6E07">
        <w:rPr>
          <w:rFonts w:ascii="Times New Roman" w:hAnsi="Times New Roman"/>
          <w:sz w:val="24"/>
        </w:rPr>
        <w:t xml:space="preserve">Bundy </w:t>
      </w:r>
      <w:r w:rsidRPr="002A2443">
        <w:rPr>
          <w:rFonts w:ascii="Times New Roman" w:hAnsi="Times New Roman"/>
          <w:i/>
          <w:sz w:val="24"/>
        </w:rPr>
        <w:t>et al.</w:t>
      </w:r>
      <w:r w:rsidRPr="006B6E07">
        <w:rPr>
          <w:rFonts w:ascii="Times New Roman" w:hAnsi="Times New Roman"/>
          <w:sz w:val="24"/>
        </w:rPr>
        <w:t xml:space="preserve">, 2013; </w:t>
      </w:r>
      <w:r w:rsidRPr="006B6E07">
        <w:rPr>
          <w:rFonts w:ascii="Times New Roman" w:hAnsi="Times New Roman"/>
          <w:sz w:val="24"/>
          <w:szCs w:val="24"/>
        </w:rPr>
        <w:t xml:space="preserve">Hahn </w:t>
      </w:r>
      <w:r w:rsidRPr="002A2443">
        <w:rPr>
          <w:rFonts w:ascii="Times New Roman" w:hAnsi="Times New Roman"/>
          <w:i/>
          <w:sz w:val="24"/>
          <w:szCs w:val="24"/>
        </w:rPr>
        <w:t>et al.</w:t>
      </w:r>
      <w:r w:rsidRPr="006B6E07">
        <w:rPr>
          <w:rFonts w:ascii="Times New Roman" w:hAnsi="Times New Roman"/>
          <w:sz w:val="24"/>
          <w:szCs w:val="24"/>
        </w:rPr>
        <w:t>, 2014).</w:t>
      </w:r>
    </w:p>
    <w:p w:rsidR="00FF2A8D" w:rsidRPr="006B6E07" w:rsidRDefault="00FF2A8D" w:rsidP="00FF2A8D">
      <w:pPr>
        <w:pStyle w:val="BodyTextIndent"/>
        <w:spacing w:line="480" w:lineRule="auto"/>
        <w:ind w:firstLine="0"/>
        <w:rPr>
          <w:b/>
          <w:szCs w:val="24"/>
        </w:rPr>
      </w:pPr>
      <w:r w:rsidRPr="006B6E07">
        <w:rPr>
          <w:b/>
          <w:szCs w:val="24"/>
        </w:rPr>
        <w:t>Practical implications</w:t>
      </w:r>
    </w:p>
    <w:p w:rsidR="00FF2A8D" w:rsidRPr="00E75558" w:rsidRDefault="00FF2A8D" w:rsidP="00FF2A8D">
      <w:pPr>
        <w:pStyle w:val="BodyTextIndent"/>
        <w:spacing w:line="480" w:lineRule="auto"/>
        <w:ind w:firstLine="403"/>
        <w:rPr>
          <w:szCs w:val="24"/>
        </w:rPr>
      </w:pPr>
      <w:r w:rsidRPr="006B6E07">
        <w:rPr>
          <w:szCs w:val="24"/>
        </w:rPr>
        <w:t xml:space="preserve">Our focus on the actions of individuals selling social issues in for-profit organizations uncovers important implications for practice. Previous research suggests that the more sellers accumulate knowledge about organizations, the more successful they are in attracting top management attention </w:t>
      </w:r>
      <w:r w:rsidRPr="006B6E07">
        <w:t xml:space="preserve">(Dutton </w:t>
      </w:r>
      <w:r w:rsidRPr="002A2443">
        <w:rPr>
          <w:i/>
        </w:rPr>
        <w:t>et al.</w:t>
      </w:r>
      <w:r w:rsidRPr="006B6E07">
        <w:t>, 2001; Howard-Grenville, 2007; Rouleau and Balogun, 2011). Our propositions provide insight into the content of this knowledge, which may draw on interpretations of compatibility between commercial and social welfare logics at the organizational level, and on interpretations of targets’ level of adherence to the social welfare logic</w:t>
      </w:r>
      <w:r w:rsidRPr="006B6E07">
        <w:rPr>
          <w:szCs w:val="24"/>
        </w:rPr>
        <w:t xml:space="preserve">. Hence, our work may help internal social change agents engage selling efforts that rely more on a practical intelligence (Dutton </w:t>
      </w:r>
      <w:r w:rsidRPr="002A2443">
        <w:rPr>
          <w:i/>
          <w:szCs w:val="24"/>
        </w:rPr>
        <w:t>et al.</w:t>
      </w:r>
      <w:r w:rsidRPr="006B6E07">
        <w:rPr>
          <w:szCs w:val="24"/>
        </w:rPr>
        <w:t>, 2001) of organizations and targets rather than on</w:t>
      </w:r>
      <w:r w:rsidRPr="00E75558">
        <w:rPr>
          <w:szCs w:val="24"/>
        </w:rPr>
        <w:t xml:space="preserve"> s</w:t>
      </w:r>
      <w:r w:rsidRPr="00E75558">
        <w:t>tylistic preferences (Piderit and Ashford, 1993).</w:t>
      </w:r>
    </w:p>
    <w:p w:rsidR="00FF2A8D" w:rsidRPr="00E75558" w:rsidRDefault="00FF2A8D" w:rsidP="00FF2A8D">
      <w:pPr>
        <w:pStyle w:val="BodyTextIndent"/>
        <w:spacing w:line="480" w:lineRule="auto"/>
        <w:ind w:firstLine="403"/>
      </w:pPr>
      <w:r w:rsidRPr="00E75558">
        <w:t xml:space="preserve">Because profitability is not the sole criterion of success in social issue selling, such initiatives may improve cognitive plurality </w:t>
      </w:r>
      <w:r>
        <w:t>as related to</w:t>
      </w:r>
      <w:r w:rsidRPr="00E75558">
        <w:t xml:space="preserve"> corporate sustainability (Hahn and Aragón-Correa, 2015). Issue sellers may increase the level of integration of commercial and social welfare logics over time (Battilana and Lee, 2014), further contributing to shifts in organizational logics (Kaplan, 2008). Hence, social issue selling initiatives may help organizations respond to institutional complexity (</w:t>
      </w:r>
      <w:r w:rsidRPr="00E75558">
        <w:rPr>
          <w:rFonts w:cs="Melior"/>
        </w:rPr>
        <w:t xml:space="preserve">Greenwood </w:t>
      </w:r>
      <w:r w:rsidRPr="002A2443">
        <w:rPr>
          <w:rFonts w:cs="Melior"/>
          <w:i/>
        </w:rPr>
        <w:t>et al.</w:t>
      </w:r>
      <w:r w:rsidRPr="00E75558">
        <w:rPr>
          <w:rFonts w:cs="Melior"/>
        </w:rPr>
        <w:t xml:space="preserve">, 2011), and reduce the cognitive dissonance that arises from stakeholder demands that depart from the dominant logic (Bundy </w:t>
      </w:r>
      <w:r w:rsidRPr="002A2443">
        <w:rPr>
          <w:rFonts w:cs="Melior"/>
          <w:i/>
        </w:rPr>
        <w:t>et al.</w:t>
      </w:r>
      <w:r w:rsidRPr="00E75558">
        <w:rPr>
          <w:rFonts w:cs="Melior"/>
        </w:rPr>
        <w:t xml:space="preserve">, 2013). Organizations wishing to benefit from social issue selling action need to provide opportunity structures that </w:t>
      </w:r>
      <w:r w:rsidRPr="00E75558">
        <w:t xml:space="preserve">help individuals overcome the cognitive challenges that are frequently associated with complex social issues (Sonenshein </w:t>
      </w:r>
      <w:r w:rsidRPr="002A2443">
        <w:rPr>
          <w:i/>
        </w:rPr>
        <w:t>et al.</w:t>
      </w:r>
      <w:r w:rsidRPr="00E75558">
        <w:t xml:space="preserve">, 2014), in order to improve the </w:t>
      </w:r>
      <w:r>
        <w:t>cap</w:t>
      </w:r>
      <w:r w:rsidRPr="00E75558">
        <w:t xml:space="preserve">ability and psychological safety of potential sellers (Dutton </w:t>
      </w:r>
      <w:r w:rsidRPr="002A2443">
        <w:rPr>
          <w:i/>
        </w:rPr>
        <w:t>et al.</w:t>
      </w:r>
      <w:r w:rsidRPr="00E75558">
        <w:t>, 1997).</w:t>
      </w:r>
      <w:r w:rsidRPr="00E75558">
        <w:rPr>
          <w:rFonts w:cs="Melior"/>
        </w:rPr>
        <w:t xml:space="preserve"> </w:t>
      </w:r>
    </w:p>
    <w:p w:rsidR="00FF2A8D" w:rsidRPr="00E75558" w:rsidRDefault="00FF2A8D" w:rsidP="00FF2A8D">
      <w:pPr>
        <w:spacing w:line="480" w:lineRule="auto"/>
        <w:rPr>
          <w:rFonts w:ascii="Times New Roman" w:hAnsi="Times New Roman"/>
          <w:b/>
          <w:sz w:val="24"/>
        </w:rPr>
      </w:pPr>
      <w:r w:rsidRPr="00E75558">
        <w:rPr>
          <w:rFonts w:ascii="Times New Roman" w:hAnsi="Times New Roman"/>
          <w:b/>
          <w:sz w:val="24"/>
        </w:rPr>
        <w:t>Future research</w:t>
      </w:r>
    </w:p>
    <w:p w:rsidR="00FF2A8D" w:rsidRPr="00E75558" w:rsidRDefault="00FF2A8D" w:rsidP="00FF2A8D">
      <w:pPr>
        <w:pStyle w:val="BodyTextIndent"/>
        <w:spacing w:line="480" w:lineRule="auto"/>
        <w:ind w:firstLine="403"/>
      </w:pPr>
      <w:r>
        <w:rPr>
          <w:bCs/>
        </w:rPr>
        <w:t>O</w:t>
      </w:r>
      <w:r w:rsidRPr="00E75558">
        <w:rPr>
          <w:bCs/>
        </w:rPr>
        <w:t xml:space="preserve">ur social issue selling account is not without limitations. </w:t>
      </w:r>
      <w:r w:rsidRPr="00E75558">
        <w:t xml:space="preserve">While we aim to expand our understanding of the contextually situated nature of issue selling (Dutton </w:t>
      </w:r>
      <w:r w:rsidRPr="002A2443">
        <w:rPr>
          <w:i/>
        </w:rPr>
        <w:t>et al.</w:t>
      </w:r>
      <w:r w:rsidRPr="00E75558">
        <w:t>, 2001), it is not our intention to be exhaustive. Previous research suggests that characteristics of sellers</w:t>
      </w:r>
      <w:r>
        <w:t xml:space="preserve"> </w:t>
      </w:r>
      <w:r w:rsidRPr="00E75558">
        <w:t>such as credibility, values, and individual discretion</w:t>
      </w:r>
      <w:r>
        <w:t>, as well as their</w:t>
      </w:r>
      <w:r w:rsidRPr="00E75558">
        <w:t xml:space="preserve"> decisions about how to perform selling—such as timing, networking</w:t>
      </w:r>
      <w:r>
        <w:t xml:space="preserve">, and </w:t>
      </w:r>
      <w:r>
        <w:rPr>
          <w:szCs w:val="26"/>
        </w:rPr>
        <w:t xml:space="preserve">coalition building </w:t>
      </w:r>
      <w:r w:rsidRPr="00E75558">
        <w:t>(</w:t>
      </w:r>
      <w:r w:rsidRPr="00E75558">
        <w:rPr>
          <w:szCs w:val="26"/>
        </w:rPr>
        <w:t xml:space="preserve">Andersson and Bateman, 2000; Bansal, 2003; </w:t>
      </w:r>
      <w:r w:rsidRPr="00E75558">
        <w:t xml:space="preserve">Dutton </w:t>
      </w:r>
      <w:r w:rsidRPr="002A2443">
        <w:rPr>
          <w:i/>
        </w:rPr>
        <w:t>et al.</w:t>
      </w:r>
      <w:r w:rsidRPr="00E75558">
        <w:t>, 2001; Howard-Grenville, 2007; Meyerson an</w:t>
      </w:r>
      <w:r>
        <w:t>d Scully, 1995</w:t>
      </w:r>
      <w:r w:rsidRPr="00E75558">
        <w:t>)</w:t>
      </w:r>
      <w:r>
        <w:t xml:space="preserve">—are </w:t>
      </w:r>
      <w:r w:rsidRPr="00E75558">
        <w:t>important conditions shaping issue selling processes of any nature. Furthermore, selling processes may also be influenced by institutional factors</w:t>
      </w:r>
      <w:r>
        <w:t xml:space="preserve"> </w:t>
      </w:r>
      <w:r w:rsidRPr="00E75558">
        <w:t xml:space="preserve">such as </w:t>
      </w:r>
      <w:r w:rsidRPr="00E75558">
        <w:rPr>
          <w:szCs w:val="26"/>
        </w:rPr>
        <w:t>competitive and economic pressures, levels of uncertainty, and national culture</w:t>
      </w:r>
      <w:r>
        <w:rPr>
          <w:szCs w:val="26"/>
        </w:rPr>
        <w:t>, along with</w:t>
      </w:r>
      <w:r w:rsidRPr="00E75558">
        <w:rPr>
          <w:szCs w:val="26"/>
        </w:rPr>
        <w:t xml:space="preserve"> further organizational factors</w:t>
      </w:r>
      <w:r w:rsidRPr="00E75558">
        <w:t>—such as</w:t>
      </w:r>
      <w:r w:rsidRPr="00E75558">
        <w:rPr>
          <w:szCs w:val="26"/>
        </w:rPr>
        <w:t xml:space="preserve"> resource slack, the predictability of policy windows, family structure, and target power (Bansal, 2003; Dutton </w:t>
      </w:r>
      <w:r w:rsidRPr="002A2443">
        <w:rPr>
          <w:i/>
          <w:szCs w:val="26"/>
        </w:rPr>
        <w:t>et al.</w:t>
      </w:r>
      <w:r w:rsidRPr="00E75558">
        <w:rPr>
          <w:szCs w:val="26"/>
        </w:rPr>
        <w:t xml:space="preserve">, 1997; Ling </w:t>
      </w:r>
      <w:r w:rsidRPr="002A2443">
        <w:rPr>
          <w:i/>
          <w:szCs w:val="26"/>
        </w:rPr>
        <w:t>et al.</w:t>
      </w:r>
      <w:r w:rsidRPr="00E75558">
        <w:rPr>
          <w:szCs w:val="26"/>
        </w:rPr>
        <w:t>, 2005, 2012; Ren and Guo, 2011; Scully and Segal, 2002; Sonenshein, 2006).</w:t>
      </w:r>
      <w:r w:rsidRPr="00E75558">
        <w:t xml:space="preserve"> </w:t>
      </w:r>
      <w:r>
        <w:t>To increase</w:t>
      </w:r>
      <w:r w:rsidRPr="00E75558">
        <w:t xml:space="preserve"> focus and parsimony, we excluded these conditions from our theory development.</w:t>
      </w:r>
    </w:p>
    <w:p w:rsidR="00FF2A8D" w:rsidRPr="00E75558" w:rsidRDefault="00FF2A8D" w:rsidP="00FF2A8D">
      <w:pPr>
        <w:pStyle w:val="BodyTextIndent"/>
        <w:spacing w:line="480" w:lineRule="auto"/>
        <w:ind w:firstLine="403"/>
      </w:pPr>
      <w:r w:rsidRPr="00E75558">
        <w:rPr>
          <w:bCs/>
        </w:rPr>
        <w:t xml:space="preserve">However, we hope to have provided a foundation upon which empirical studies can be developed to extend our reasoning and expand research on specific social issues. Testing our propositions will require, ideally, tracking the progress of issue sellers in their prognostic and motivational framing tasks through time, due to the recursive nature of framing processes </w:t>
      </w:r>
      <w:r w:rsidRPr="00E75558">
        <w:rPr>
          <w:lang w:val="en-GB"/>
        </w:rPr>
        <w:t>(</w:t>
      </w:r>
      <w:r>
        <w:rPr>
          <w:lang w:val="en-GB"/>
        </w:rPr>
        <w:t xml:space="preserve">Bansal, 2003; </w:t>
      </w:r>
      <w:r w:rsidRPr="00E75558">
        <w:t>Dutton and Ashford, 199</w:t>
      </w:r>
      <w:r w:rsidRPr="00E75558">
        <w:rPr>
          <w:lang w:val="en-GB"/>
        </w:rPr>
        <w:t xml:space="preserve">3; Howard-Grenville, 2007; </w:t>
      </w:r>
      <w:r w:rsidRPr="00E75558">
        <w:rPr>
          <w:szCs w:val="24"/>
        </w:rPr>
        <w:t xml:space="preserve">Sonenshein, 2014). Mixed method studies may be particularly suited to study our model. For example, information from social issue sellers and targets could be gathered via a combination of diary studies, interviews, and field visits </w:t>
      </w:r>
      <w:r w:rsidR="00DF13EF">
        <w:rPr>
          <w:szCs w:val="24"/>
        </w:rPr>
        <w:t>at</w:t>
      </w:r>
      <w:r w:rsidRPr="00E75558">
        <w:rPr>
          <w:szCs w:val="24"/>
        </w:rPr>
        <w:t xml:space="preserve"> different stages of the selling process, </w:t>
      </w:r>
      <w:r w:rsidRPr="00E75558">
        <w:t xml:space="preserve">allowing for both frame analysis (e.g., Creed </w:t>
      </w:r>
      <w:r w:rsidRPr="002A2443">
        <w:rPr>
          <w:i/>
        </w:rPr>
        <w:t>et al.</w:t>
      </w:r>
      <w:r w:rsidRPr="00E75558">
        <w:t>, 2002</w:t>
      </w:r>
      <w:r>
        <w:t>b</w:t>
      </w:r>
      <w:r w:rsidRPr="00E75558">
        <w:t xml:space="preserve">) and the observation of micro-level discursive strategies (e.g., Kwon </w:t>
      </w:r>
      <w:r w:rsidRPr="002A2443">
        <w:rPr>
          <w:i/>
        </w:rPr>
        <w:t>et al.</w:t>
      </w:r>
      <w:r w:rsidRPr="00E75558">
        <w:t>, 2014; Rouleau, 2005)</w:t>
      </w:r>
      <w:r w:rsidRPr="00E75558">
        <w:rPr>
          <w:szCs w:val="24"/>
        </w:rPr>
        <w:t xml:space="preserve">. The composition of the organizational logic could be analyzed through cognitive mapping techniques similar to those used by Crilly and Sloan (2012), or through the vocabulary perpective advanced by Loewenstein </w:t>
      </w:r>
      <w:r w:rsidRPr="002A2443">
        <w:rPr>
          <w:i/>
          <w:szCs w:val="24"/>
        </w:rPr>
        <w:t>et al.</w:t>
      </w:r>
      <w:r w:rsidRPr="00E75558">
        <w:rPr>
          <w:szCs w:val="24"/>
        </w:rPr>
        <w:t xml:space="preserve"> (2012). Strategy-as-practice approaches could also provide insights connecting the discourse of issue sellers to gestures and sociomaterial practices </w:t>
      </w:r>
      <w:r w:rsidRPr="00E75558">
        <w:rPr>
          <w:bCs/>
        </w:rPr>
        <w:t xml:space="preserve">(Balogun </w:t>
      </w:r>
      <w:r w:rsidRPr="002A2443">
        <w:rPr>
          <w:bCs/>
          <w:i/>
        </w:rPr>
        <w:t>et al.</w:t>
      </w:r>
      <w:r w:rsidRPr="00E75558">
        <w:rPr>
          <w:bCs/>
        </w:rPr>
        <w:t xml:space="preserve">, 2014; </w:t>
      </w:r>
      <w:r w:rsidRPr="00E75558">
        <w:rPr>
          <w:szCs w:val="24"/>
        </w:rPr>
        <w:t xml:space="preserve">Cornelissen </w:t>
      </w:r>
      <w:r w:rsidRPr="002A2443">
        <w:rPr>
          <w:i/>
          <w:szCs w:val="24"/>
        </w:rPr>
        <w:t>et al.</w:t>
      </w:r>
      <w:r w:rsidRPr="00E75558">
        <w:rPr>
          <w:szCs w:val="24"/>
        </w:rPr>
        <w:t xml:space="preserve">, 2015; </w:t>
      </w:r>
      <w:r w:rsidRPr="00E75558">
        <w:t>Fairclough, 2003</w:t>
      </w:r>
      <w:r w:rsidRPr="00E75558">
        <w:rPr>
          <w:szCs w:val="24"/>
        </w:rPr>
        <w:t xml:space="preserve">). Furthermore, the adherence of targets to the social welfare logic could be measured through targets’ </w:t>
      </w:r>
      <w:r w:rsidRPr="00E75558">
        <w:t xml:space="preserve">observable network ties (Greenwood </w:t>
      </w:r>
      <w:r w:rsidRPr="002A2443">
        <w:rPr>
          <w:i/>
        </w:rPr>
        <w:t>et al.</w:t>
      </w:r>
      <w:r w:rsidRPr="00E75558">
        <w:t>, 2011).</w:t>
      </w:r>
    </w:p>
    <w:p w:rsidR="00FF2A8D" w:rsidRPr="00E75558" w:rsidRDefault="00FF2A8D" w:rsidP="00FF2A8D">
      <w:pPr>
        <w:pStyle w:val="BodyTextIndent"/>
        <w:spacing w:line="480" w:lineRule="auto"/>
        <w:ind w:firstLine="403"/>
      </w:pPr>
      <w:r w:rsidRPr="00E75558">
        <w:t xml:space="preserve">Importantly, </w:t>
      </w:r>
      <w:r w:rsidRPr="00E75558">
        <w:rPr>
          <w:szCs w:val="24"/>
        </w:rPr>
        <w:t>future research should pay attention to the co</w:t>
      </w:r>
      <w:r>
        <w:rPr>
          <w:szCs w:val="24"/>
        </w:rPr>
        <w:t>-</w:t>
      </w:r>
      <w:r w:rsidRPr="00E75558">
        <w:rPr>
          <w:szCs w:val="24"/>
        </w:rPr>
        <w:t>construction of meaning in issue selling, treating framing tasks as interactive processes, and considering both sellers and targets as communication agents</w:t>
      </w:r>
      <w:r w:rsidRPr="00E75558">
        <w:t xml:space="preserve"> (</w:t>
      </w:r>
      <w:r w:rsidRPr="00E75558">
        <w:rPr>
          <w:szCs w:val="24"/>
        </w:rPr>
        <w:t xml:space="preserve">Cornelissen </w:t>
      </w:r>
      <w:r w:rsidRPr="002A2443">
        <w:rPr>
          <w:i/>
          <w:szCs w:val="24"/>
        </w:rPr>
        <w:t>et al.</w:t>
      </w:r>
      <w:r w:rsidRPr="00E75558">
        <w:rPr>
          <w:szCs w:val="24"/>
        </w:rPr>
        <w:t>, 2015)</w:t>
      </w:r>
      <w:r w:rsidRPr="00E75558">
        <w:t xml:space="preserve">. In order to </w:t>
      </w:r>
      <w:r w:rsidRPr="00E75558">
        <w:rPr>
          <w:szCs w:val="24"/>
        </w:rPr>
        <w:t xml:space="preserve">shape and influence interpretations, the framing tasks of issue sellers need to </w:t>
      </w:r>
      <w:r>
        <w:rPr>
          <w:szCs w:val="24"/>
        </w:rPr>
        <w:t>align</w:t>
      </w:r>
      <w:r w:rsidRPr="00E75558">
        <w:rPr>
          <w:szCs w:val="24"/>
        </w:rPr>
        <w:t xml:space="preserve"> with the</w:t>
      </w:r>
      <w:r w:rsidRPr="00E75558">
        <w:t xml:space="preserve"> actual m</w:t>
      </w:r>
      <w:r w:rsidRPr="00E75558">
        <w:rPr>
          <w:szCs w:val="24"/>
        </w:rPr>
        <w:t xml:space="preserve">otives of selling targets (Cornelissen </w:t>
      </w:r>
      <w:r w:rsidRPr="002A2443">
        <w:rPr>
          <w:i/>
          <w:szCs w:val="24"/>
        </w:rPr>
        <w:t>et al.</w:t>
      </w:r>
      <w:r w:rsidRPr="00E75558">
        <w:rPr>
          <w:szCs w:val="24"/>
        </w:rPr>
        <w:t>, 2011; Cornelissen and Werner, 2014; Rouleau and Balogun, 2011), and group dynamics may also play an important role (e.g., Pandza, 2011)</w:t>
      </w:r>
      <w:r w:rsidRPr="00E75558">
        <w:t xml:space="preserve">. </w:t>
      </w:r>
      <w:r w:rsidRPr="00E75558">
        <w:rPr>
          <w:szCs w:val="24"/>
        </w:rPr>
        <w:t xml:space="preserve">Future studies </w:t>
      </w:r>
      <w:r>
        <w:rPr>
          <w:szCs w:val="24"/>
        </w:rPr>
        <w:t>on</w:t>
      </w:r>
      <w:r w:rsidRPr="00E75558">
        <w:rPr>
          <w:szCs w:val="24"/>
        </w:rPr>
        <w:t xml:space="preserve"> the outcomes of issue selling processes could consider these ideas to shed light on how issue sellers not only work with </w:t>
      </w:r>
      <w:r w:rsidRPr="00E75558">
        <w:t xml:space="preserve">sponsors, but </w:t>
      </w:r>
      <w:r>
        <w:t xml:space="preserve">also </w:t>
      </w:r>
      <w:r w:rsidRPr="00E75558">
        <w:t xml:space="preserve">through gatekeepers (Markham </w:t>
      </w:r>
      <w:r w:rsidRPr="002A2443">
        <w:rPr>
          <w:i/>
        </w:rPr>
        <w:t>et al.</w:t>
      </w:r>
      <w:r w:rsidRPr="00E75558">
        <w:t>, 2010) or antagonists (Lefsrud and Meyer, 2012) to establish frame resonance</w:t>
      </w:r>
      <w:r w:rsidRPr="00E75558">
        <w:rPr>
          <w:szCs w:val="24"/>
        </w:rPr>
        <w:t xml:space="preserve"> </w:t>
      </w:r>
      <w:r w:rsidRPr="00E75558">
        <w:t xml:space="preserve">and further mobilize resources for change. </w:t>
      </w:r>
    </w:p>
    <w:p w:rsidR="00FF2A8D" w:rsidRPr="00E75558" w:rsidRDefault="00FF2A8D" w:rsidP="00FF2A8D">
      <w:pPr>
        <w:pStyle w:val="BodyTextIndent"/>
        <w:spacing w:line="480" w:lineRule="auto"/>
        <w:ind w:firstLine="403"/>
        <w:rPr>
          <w:rFonts w:cs="BaskervilleMT"/>
          <w:szCs w:val="22"/>
          <w:lang w:val="en-GB"/>
        </w:rPr>
      </w:pPr>
      <w:r w:rsidRPr="00E75558">
        <w:t>Finally, w</w:t>
      </w:r>
      <w:r w:rsidRPr="00E75558">
        <w:rPr>
          <w:bCs/>
        </w:rPr>
        <w:t xml:space="preserve">e are hopeful that our propositions will contribute to extending research </w:t>
      </w:r>
      <w:r>
        <w:rPr>
          <w:bCs/>
        </w:rPr>
        <w:t>o</w:t>
      </w:r>
      <w:r w:rsidRPr="00E75558">
        <w:rPr>
          <w:bCs/>
        </w:rPr>
        <w:t xml:space="preserve">n corporate social entrepreneurship </w:t>
      </w:r>
      <w:r w:rsidRPr="00E75558">
        <w:rPr>
          <w:rFonts w:cs="Times-Roman"/>
          <w:szCs w:val="22"/>
        </w:rPr>
        <w:t xml:space="preserve">(Austin and Reficco, 2009; Bode and Santos, 2013; Hemingway, 2005), or </w:t>
      </w:r>
      <w:r w:rsidRPr="00E75558">
        <w:t xml:space="preserve">social intrapreneurship </w:t>
      </w:r>
      <w:r w:rsidRPr="00E75558">
        <w:rPr>
          <w:rFonts w:cs="y7tir"/>
          <w:szCs w:val="21"/>
        </w:rPr>
        <w:t>(</w:t>
      </w:r>
      <w:r w:rsidRPr="00E75558">
        <w:t>Brenneke and Spitzeck, 2010</w:t>
      </w:r>
      <w:r w:rsidRPr="00E75558">
        <w:rPr>
          <w:szCs w:val="28"/>
        </w:rPr>
        <w:t xml:space="preserve">; </w:t>
      </w:r>
      <w:r w:rsidRPr="00E75558">
        <w:rPr>
          <w:rFonts w:cs="Times-Roman"/>
          <w:szCs w:val="22"/>
        </w:rPr>
        <w:t xml:space="preserve">Halme </w:t>
      </w:r>
      <w:r w:rsidRPr="002A2443">
        <w:rPr>
          <w:rFonts w:cs="Times-Roman"/>
          <w:i/>
          <w:szCs w:val="22"/>
        </w:rPr>
        <w:t>et al.</w:t>
      </w:r>
      <w:r w:rsidRPr="00E75558">
        <w:rPr>
          <w:rFonts w:cs="Times-Roman"/>
          <w:szCs w:val="22"/>
        </w:rPr>
        <w:t xml:space="preserve">, 2012; </w:t>
      </w:r>
      <w:r w:rsidRPr="00E75558">
        <w:t>Kistruck and Beamish, 2010</w:t>
      </w:r>
      <w:r w:rsidRPr="00E75558">
        <w:rPr>
          <w:rFonts w:cs="Times-Roman"/>
          <w:szCs w:val="22"/>
        </w:rPr>
        <w:t xml:space="preserve">). We suggest that our social issue selling model may be particularly useful in explaining how individuals may apply the </w:t>
      </w:r>
      <w:r w:rsidRPr="00E75558">
        <w:t xml:space="preserve">principles of social entrepreneurship inside corporations (Dacin </w:t>
      </w:r>
      <w:r w:rsidRPr="002A2443">
        <w:rPr>
          <w:i/>
        </w:rPr>
        <w:t>et al.</w:t>
      </w:r>
      <w:r w:rsidRPr="00E75558">
        <w:t xml:space="preserve">, 2011; Mair and Martí, 2006), contributing to initiatives that may range from </w:t>
      </w:r>
      <w:r w:rsidRPr="00E75558">
        <w:rPr>
          <w:szCs w:val="24"/>
        </w:rPr>
        <w:t>bottom of the pyramid innovations (</w:t>
      </w:r>
      <w:r w:rsidRPr="00E75558">
        <w:rPr>
          <w:rFonts w:cs="BaskervilleMT"/>
          <w:szCs w:val="22"/>
        </w:rPr>
        <w:t>Prahalad and Hart, 2002)</w:t>
      </w:r>
      <w:r>
        <w:rPr>
          <w:rFonts w:cs="BaskervilleMT"/>
          <w:szCs w:val="22"/>
        </w:rPr>
        <w:t>,</w:t>
      </w:r>
      <w:r w:rsidRPr="00E75558">
        <w:rPr>
          <w:rFonts w:cs="BaskervilleMT"/>
          <w:szCs w:val="22"/>
        </w:rPr>
        <w:t xml:space="preserve"> to paradoxical solutions (Hahn </w:t>
      </w:r>
      <w:r w:rsidRPr="002A2443">
        <w:rPr>
          <w:rFonts w:cs="BaskervilleMT"/>
          <w:i/>
          <w:szCs w:val="22"/>
        </w:rPr>
        <w:t>et al.</w:t>
      </w:r>
      <w:r w:rsidRPr="00E75558">
        <w:rPr>
          <w:rFonts w:cs="BaskervilleMT"/>
          <w:szCs w:val="22"/>
        </w:rPr>
        <w:t>, 2014) to corporate sustainability and societal issues.</w:t>
      </w:r>
    </w:p>
    <w:p w:rsidR="00FF2A8D" w:rsidRPr="00E75558" w:rsidRDefault="00FF2A8D" w:rsidP="00FF2A8D">
      <w:pPr>
        <w:autoSpaceDE w:val="0"/>
        <w:autoSpaceDN w:val="0"/>
        <w:adjustRightInd w:val="0"/>
        <w:spacing w:line="480" w:lineRule="auto"/>
        <w:jc w:val="center"/>
        <w:rPr>
          <w:rFonts w:ascii="Times New Roman" w:eastAsia="Calibri" w:hAnsi="Times New Roman"/>
          <w:b/>
          <w:bCs/>
          <w:sz w:val="24"/>
        </w:rPr>
      </w:pPr>
      <w:r w:rsidRPr="00E75558">
        <w:rPr>
          <w:rFonts w:ascii="Times New Roman" w:eastAsia="Calibri" w:hAnsi="Times New Roman"/>
          <w:b/>
          <w:bCs/>
          <w:sz w:val="24"/>
        </w:rPr>
        <w:t>REFERENCES</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Aguilera, R. V., Rupp, D. E., Williams, C. A. and Ganapathi, J. (2007). ‘Putting the S back in corporate social responsibility: A multilevel theory of social change in organizations’. </w:t>
      </w:r>
      <w:r w:rsidRPr="00AC58E7">
        <w:rPr>
          <w:rFonts w:ascii="Times New Roman" w:eastAsia="Calibri" w:hAnsi="Times New Roman"/>
          <w:bCs/>
          <w:i/>
          <w:iCs/>
          <w:sz w:val="24"/>
        </w:rPr>
        <w:t>Academy of Management Review</w:t>
      </w:r>
      <w:r w:rsidRPr="00AC58E7">
        <w:rPr>
          <w:rFonts w:ascii="Times New Roman" w:eastAsia="Calibri" w:hAnsi="Times New Roman"/>
          <w:sz w:val="24"/>
        </w:rPr>
        <w:t>,</w:t>
      </w:r>
      <w:r w:rsidRPr="00AC58E7">
        <w:rPr>
          <w:rFonts w:ascii="Times New Roman" w:eastAsia="Calibri" w:hAnsi="Times New Roman"/>
          <w:i/>
          <w:iCs/>
          <w:sz w:val="24"/>
        </w:rPr>
        <w:t xml:space="preserve"> </w:t>
      </w:r>
      <w:r w:rsidRPr="00AC58E7">
        <w:rPr>
          <w:rFonts w:ascii="Times New Roman" w:eastAsia="Calibri" w:hAnsi="Times New Roman"/>
          <w:b/>
          <w:sz w:val="24"/>
        </w:rPr>
        <w:t>32</w:t>
      </w:r>
      <w:r w:rsidRPr="00AC58E7">
        <w:rPr>
          <w:rFonts w:ascii="Times New Roman" w:eastAsia="Calibri" w:hAnsi="Times New Roman"/>
          <w:sz w:val="24"/>
        </w:rPr>
        <w:t>, 836–863.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Aguinis, H. and Glavas, A. (2012). ‘What we know and don’t know about corporate social responsibility: A review and research agenda’. </w:t>
      </w:r>
      <w:r w:rsidRPr="00AC58E7">
        <w:rPr>
          <w:rFonts w:ascii="Times New Roman" w:eastAsia="Calibri" w:hAnsi="Times New Roman"/>
          <w:bCs/>
          <w:i/>
          <w:iCs/>
          <w:sz w:val="24"/>
        </w:rPr>
        <w:t>Journal of Management</w:t>
      </w:r>
      <w:r w:rsidRPr="00AC58E7">
        <w:rPr>
          <w:rFonts w:ascii="Times New Roman" w:eastAsia="Calibri" w:hAnsi="Times New Roman"/>
          <w:sz w:val="24"/>
        </w:rPr>
        <w:t>,</w:t>
      </w:r>
      <w:r w:rsidRPr="00AC58E7">
        <w:rPr>
          <w:rFonts w:ascii="Times New Roman" w:eastAsia="Calibri" w:hAnsi="Times New Roman"/>
          <w:i/>
          <w:iCs/>
          <w:sz w:val="24"/>
        </w:rPr>
        <w:t xml:space="preserve"> </w:t>
      </w:r>
      <w:r w:rsidRPr="00AC58E7">
        <w:rPr>
          <w:rFonts w:ascii="Times New Roman" w:eastAsia="Calibri" w:hAnsi="Times New Roman"/>
          <w:b/>
          <w:sz w:val="24"/>
        </w:rPr>
        <w:t>38</w:t>
      </w:r>
      <w:r w:rsidRPr="00AC58E7">
        <w:rPr>
          <w:rFonts w:ascii="Times New Roman" w:eastAsia="Calibri" w:hAnsi="Times New Roman"/>
          <w:sz w:val="24"/>
        </w:rPr>
        <w:t>, 932–968.</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Almandoz, J. (2012). ‘Arriving at the starting line: The impact of community and financial logics on new banking ventures’. </w:t>
      </w:r>
      <w:r w:rsidRPr="00AC58E7">
        <w:rPr>
          <w:rFonts w:ascii="Times New Roman" w:eastAsia="Calibri" w:hAnsi="Times New Roman"/>
          <w:i/>
          <w:iCs/>
          <w:sz w:val="24"/>
        </w:rPr>
        <w:t>Academy of Management Journal</w:t>
      </w:r>
      <w:r w:rsidRPr="00AC58E7">
        <w:rPr>
          <w:rFonts w:ascii="Times New Roman" w:eastAsia="Calibri" w:hAnsi="Times New Roman"/>
          <w:sz w:val="24"/>
        </w:rPr>
        <w:t xml:space="preserve">, </w:t>
      </w:r>
      <w:r w:rsidRPr="00AC58E7">
        <w:rPr>
          <w:rFonts w:ascii="Times New Roman" w:eastAsia="Calibri" w:hAnsi="Times New Roman"/>
          <w:b/>
          <w:sz w:val="24"/>
        </w:rPr>
        <w:t>55</w:t>
      </w:r>
      <w:r w:rsidRPr="00AC58E7">
        <w:rPr>
          <w:rFonts w:ascii="Times New Roman" w:eastAsia="Calibri" w:hAnsi="Times New Roman"/>
          <w:sz w:val="24"/>
        </w:rPr>
        <w:t>, 1381–1406.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rPr>
        <w:t xml:space="preserve">Almandoz, J. (2014). </w:t>
      </w:r>
      <w:r>
        <w:rPr>
          <w:rFonts w:ascii="Times New Roman" w:hAnsi="Times New Roman" w:cs="Times New Roman"/>
          <w:color w:val="auto"/>
          <w:sz w:val="24"/>
          <w:szCs w:val="24"/>
        </w:rPr>
        <w:t>‘</w:t>
      </w:r>
      <w:r w:rsidRPr="00AC58E7">
        <w:rPr>
          <w:rFonts w:ascii="Times New Roman" w:hAnsi="Times New Roman" w:cs="Times New Roman"/>
          <w:color w:val="auto"/>
          <w:sz w:val="24"/>
          <w:szCs w:val="24"/>
        </w:rPr>
        <w:t>Founding teams as</w:t>
      </w:r>
      <w:r>
        <w:rPr>
          <w:rFonts w:ascii="Times New Roman" w:hAnsi="Times New Roman" w:cs="Times New Roman"/>
          <w:color w:val="auto"/>
          <w:sz w:val="24"/>
          <w:szCs w:val="24"/>
        </w:rPr>
        <w:t xml:space="preserve"> carriers of competing logics: W</w:t>
      </w:r>
      <w:r w:rsidRPr="00AC58E7">
        <w:rPr>
          <w:rFonts w:ascii="Times New Roman" w:hAnsi="Times New Roman" w:cs="Times New Roman"/>
          <w:color w:val="auto"/>
          <w:sz w:val="24"/>
          <w:szCs w:val="24"/>
        </w:rPr>
        <w:t>hen institutional forces predict banks’ risk exposure</w:t>
      </w:r>
      <w:r>
        <w:rPr>
          <w:rFonts w:ascii="Times New Roman" w:hAnsi="Times New Roman" w:cs="Times New Roman"/>
          <w:color w:val="auto"/>
          <w:sz w:val="24"/>
          <w:szCs w:val="24"/>
        </w:rPr>
        <w:t>’</w:t>
      </w:r>
      <w:r w:rsidRPr="00AC58E7">
        <w:rPr>
          <w:rFonts w:ascii="Times New Roman" w:hAnsi="Times New Roman" w:cs="Times New Roman"/>
          <w:color w:val="auto"/>
          <w:sz w:val="24"/>
          <w:szCs w:val="24"/>
        </w:rPr>
        <w:t xml:space="preserve">. </w:t>
      </w:r>
      <w:r w:rsidRPr="00AC58E7">
        <w:rPr>
          <w:rFonts w:ascii="Times New Roman" w:hAnsi="Times New Roman" w:cs="Times New Roman"/>
          <w:i/>
          <w:iCs/>
          <w:color w:val="auto"/>
          <w:sz w:val="24"/>
          <w:szCs w:val="24"/>
        </w:rPr>
        <w:t>Administrative Science Quarterly</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59,</w:t>
      </w:r>
      <w:r>
        <w:rPr>
          <w:rFonts w:ascii="Times New Roman" w:hAnsi="Times New Roman" w:cs="Times New Roman"/>
          <w:color w:val="auto"/>
          <w:sz w:val="24"/>
          <w:szCs w:val="24"/>
        </w:rPr>
        <w:t xml:space="preserve"> 442</w:t>
      </w:r>
      <w:r w:rsidRPr="00AC58E7">
        <w:rPr>
          <w:rFonts w:ascii="Times New Roman" w:eastAsia="Calibri" w:hAnsi="Times New Roman"/>
          <w:sz w:val="24"/>
        </w:rPr>
        <w:t>–</w:t>
      </w:r>
      <w:r w:rsidRPr="00AC58E7">
        <w:rPr>
          <w:rFonts w:ascii="Times New Roman" w:hAnsi="Times New Roman" w:cs="Times New Roman"/>
          <w:color w:val="auto"/>
          <w:sz w:val="24"/>
          <w:szCs w:val="24"/>
        </w:rPr>
        <w:t xml:space="preserve">473. </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Andersson, L. M. and Bateman, T. S. (2000). ‘Individual environmental initiative: Championing natural environmental issues in U.S. business organizations’. </w:t>
      </w:r>
      <w:r w:rsidRPr="00AC58E7">
        <w:rPr>
          <w:rFonts w:ascii="Times New Roman" w:eastAsia="Calibri" w:hAnsi="Times New Roman"/>
          <w:bCs/>
          <w:i/>
          <w:iCs/>
          <w:kern w:val="1"/>
          <w:sz w:val="24"/>
        </w:rPr>
        <w:t>Academy of Management Journal</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43</w:t>
      </w:r>
      <w:r w:rsidRPr="00AC58E7">
        <w:rPr>
          <w:rFonts w:ascii="Times New Roman" w:eastAsia="Calibri" w:hAnsi="Times New Roman"/>
          <w:kern w:val="1"/>
          <w:sz w:val="24"/>
        </w:rPr>
        <w:t>, 548–570.</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hAnsi="Times New Roman" w:cs="Times New Roman"/>
          <w:color w:val="auto"/>
          <w:sz w:val="24"/>
          <w:szCs w:val="24"/>
        </w:rPr>
        <w:t xml:space="preserve">Ansoff, H. I. (1980). ‘Strategic issue management’. </w:t>
      </w:r>
      <w:r w:rsidRPr="00AC58E7">
        <w:rPr>
          <w:rFonts w:ascii="Times New Roman" w:hAnsi="Times New Roman" w:cs="Times New Roman"/>
          <w:i/>
          <w:color w:val="auto"/>
          <w:sz w:val="24"/>
          <w:szCs w:val="24"/>
        </w:rPr>
        <w:t>Strategic Management Journal</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1</w:t>
      </w:r>
      <w:r w:rsidRPr="00AC58E7">
        <w:rPr>
          <w:rFonts w:ascii="Times New Roman" w:hAnsi="Times New Roman" w:cs="Times New Roman"/>
          <w:color w:val="auto"/>
          <w:sz w:val="24"/>
          <w:szCs w:val="24"/>
        </w:rPr>
        <w:t>, 131</w:t>
      </w:r>
      <w:r w:rsidRPr="00AC58E7">
        <w:rPr>
          <w:rFonts w:ascii="Times New Roman" w:eastAsia="Calibri" w:hAnsi="Times New Roman"/>
          <w:kern w:val="1"/>
          <w:sz w:val="24"/>
        </w:rPr>
        <w:t>–</w:t>
      </w:r>
      <w:r w:rsidRPr="00AC58E7">
        <w:rPr>
          <w:rFonts w:ascii="Times New Roman" w:hAnsi="Times New Roman" w:cs="Times New Roman"/>
          <w:color w:val="auto"/>
          <w:sz w:val="24"/>
          <w:szCs w:val="24"/>
        </w:rPr>
        <w:t>148.</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Ashford, S. J., Rothbard, N. P., Piderit, S. K. and Dutton, J. E. (1998). ‘Out on a limb: The role of context and impression management in selling gender-equity issues’. </w:t>
      </w:r>
      <w:r w:rsidRPr="00AC58E7">
        <w:rPr>
          <w:rFonts w:ascii="Times New Roman" w:eastAsia="Calibri" w:hAnsi="Times New Roman"/>
          <w:bCs/>
          <w:i/>
          <w:iCs/>
          <w:kern w:val="1"/>
          <w:sz w:val="24"/>
        </w:rPr>
        <w:t>Administrative Science Quarterly</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43</w:t>
      </w:r>
      <w:r w:rsidRPr="00AC58E7">
        <w:rPr>
          <w:rFonts w:ascii="Times New Roman" w:eastAsia="Calibri" w:hAnsi="Times New Roman"/>
          <w:kern w:val="1"/>
          <w:sz w:val="24"/>
        </w:rPr>
        <w:t>, 23–57.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Austin, J. and Reficco, E. (2009). </w:t>
      </w:r>
      <w:r w:rsidRPr="00AC58E7">
        <w:rPr>
          <w:rFonts w:ascii="Times New Roman" w:eastAsia="Calibri" w:hAnsi="Times New Roman"/>
          <w:bCs/>
          <w:i/>
          <w:iCs/>
          <w:kern w:val="1"/>
          <w:sz w:val="24"/>
        </w:rPr>
        <w:t>Corporate Social Entrepreneurship</w:t>
      </w:r>
      <w:r w:rsidRPr="00AC58E7">
        <w:rPr>
          <w:rFonts w:ascii="Times New Roman" w:eastAsia="Calibri" w:hAnsi="Times New Roman"/>
          <w:kern w:val="1"/>
          <w:sz w:val="24"/>
        </w:rPr>
        <w:t>. Working Paper 09–101, Harvard Business School, Boston, MA.</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Balogun, J., Jacobs, C., Jarzabkowski, P., Mantere, S. and Vaara, E. (2014). ‘Placing strategy discourse in context: Sociomateriality, sensemaking, and power’. </w:t>
      </w:r>
      <w:r w:rsidRPr="00AC58E7">
        <w:rPr>
          <w:rFonts w:ascii="Times New Roman" w:eastAsia="Calibri" w:hAnsi="Times New Roman"/>
          <w:i/>
          <w:iCs/>
          <w:sz w:val="24"/>
        </w:rPr>
        <w:t>Journal of Management Studies</w:t>
      </w:r>
      <w:r w:rsidRPr="00AC58E7">
        <w:rPr>
          <w:rFonts w:ascii="Times New Roman" w:eastAsia="Calibri" w:hAnsi="Times New Roman"/>
          <w:sz w:val="24"/>
        </w:rPr>
        <w:t xml:space="preserve">, </w:t>
      </w:r>
      <w:r w:rsidRPr="00AC58E7">
        <w:rPr>
          <w:rFonts w:ascii="Times New Roman" w:eastAsia="Calibri" w:hAnsi="Times New Roman"/>
          <w:b/>
          <w:iCs/>
          <w:sz w:val="24"/>
        </w:rPr>
        <w:t>51</w:t>
      </w:r>
      <w:r w:rsidRPr="00AC58E7">
        <w:rPr>
          <w:rFonts w:ascii="Times New Roman" w:eastAsia="Calibri" w:hAnsi="Times New Roman"/>
          <w:sz w:val="24"/>
        </w:rPr>
        <w:t>, 175–201.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Bansal, P. (2003). ‘From issues to actions: The importance of individual concerns and organizational values in responding to natural environment issues’. </w:t>
      </w:r>
      <w:r w:rsidRPr="00AC58E7">
        <w:rPr>
          <w:rFonts w:ascii="Times New Roman" w:eastAsia="Calibri" w:hAnsi="Times New Roman"/>
          <w:bCs/>
          <w:i/>
          <w:iCs/>
          <w:kern w:val="1"/>
          <w:sz w:val="24"/>
        </w:rPr>
        <w:t>Organization Science</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14</w:t>
      </w:r>
      <w:r w:rsidRPr="00AC58E7">
        <w:rPr>
          <w:rFonts w:ascii="Times New Roman" w:eastAsia="Calibri" w:hAnsi="Times New Roman"/>
          <w:kern w:val="1"/>
          <w:sz w:val="24"/>
        </w:rPr>
        <w:t>, 510–527.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hAnsi="Times New Roman" w:cs="Times New Roman"/>
          <w:color w:val="auto"/>
          <w:sz w:val="24"/>
          <w:szCs w:val="24"/>
        </w:rPr>
        <w:t xml:space="preserve">Barnett, M. L. (2008). </w:t>
      </w:r>
      <w:r>
        <w:rPr>
          <w:rFonts w:ascii="Times New Roman" w:hAnsi="Times New Roman" w:cs="Times New Roman"/>
          <w:color w:val="auto"/>
          <w:sz w:val="24"/>
          <w:szCs w:val="24"/>
        </w:rPr>
        <w:t>‘</w:t>
      </w:r>
      <w:r w:rsidRPr="00AC58E7">
        <w:rPr>
          <w:rFonts w:ascii="Times New Roman" w:hAnsi="Times New Roman" w:cs="Times New Roman"/>
          <w:color w:val="auto"/>
          <w:sz w:val="24"/>
          <w:szCs w:val="24"/>
        </w:rPr>
        <w:t>An attention-based view of real options reasoning</w:t>
      </w:r>
      <w:r>
        <w:rPr>
          <w:rFonts w:ascii="Times New Roman" w:hAnsi="Times New Roman" w:cs="Times New Roman"/>
          <w:color w:val="auto"/>
          <w:sz w:val="24"/>
          <w:szCs w:val="24"/>
        </w:rPr>
        <w:t>’</w:t>
      </w:r>
      <w:r w:rsidRPr="00AC58E7">
        <w:rPr>
          <w:rFonts w:ascii="Times New Roman" w:hAnsi="Times New Roman" w:cs="Times New Roman"/>
          <w:color w:val="auto"/>
          <w:sz w:val="24"/>
          <w:szCs w:val="24"/>
        </w:rPr>
        <w:t xml:space="preserve">. </w:t>
      </w:r>
      <w:r w:rsidRPr="00AC58E7">
        <w:rPr>
          <w:rFonts w:ascii="Times New Roman" w:hAnsi="Times New Roman" w:cs="Times New Roman"/>
          <w:i/>
          <w:iCs/>
          <w:color w:val="auto"/>
          <w:sz w:val="24"/>
          <w:szCs w:val="24"/>
        </w:rPr>
        <w:t>Academy of Management Review</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33</w:t>
      </w:r>
      <w:r w:rsidRPr="00AC58E7">
        <w:rPr>
          <w:rFonts w:ascii="Times New Roman" w:hAnsi="Times New Roman" w:cs="Times New Roman"/>
          <w:b/>
          <w:color w:val="auto"/>
          <w:sz w:val="24"/>
          <w:szCs w:val="24"/>
        </w:rPr>
        <w:t>,</w:t>
      </w:r>
      <w:r>
        <w:rPr>
          <w:rFonts w:ascii="Times New Roman" w:hAnsi="Times New Roman" w:cs="Times New Roman"/>
          <w:color w:val="auto"/>
          <w:sz w:val="24"/>
          <w:szCs w:val="24"/>
        </w:rPr>
        <w:t xml:space="preserve"> 606</w:t>
      </w:r>
      <w:r w:rsidRPr="00AC58E7">
        <w:rPr>
          <w:rFonts w:ascii="Times New Roman" w:eastAsia="Calibri" w:hAnsi="Times New Roman"/>
          <w:sz w:val="24"/>
        </w:rPr>
        <w:t>–</w:t>
      </w:r>
      <w:r w:rsidRPr="00AC58E7">
        <w:rPr>
          <w:rFonts w:ascii="Times New Roman" w:hAnsi="Times New Roman" w:cs="Times New Roman"/>
          <w:color w:val="auto"/>
          <w:sz w:val="24"/>
          <w:szCs w:val="24"/>
        </w:rPr>
        <w:t>628.</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Battilana, J. and Lee, M. (2014). ‘Advancing research on hybrid organizing – Insights from the study of social enterprises’. </w:t>
      </w:r>
      <w:r w:rsidRPr="00AC58E7">
        <w:rPr>
          <w:rFonts w:ascii="Times New Roman" w:eastAsia="Calibri" w:hAnsi="Times New Roman"/>
          <w:i/>
          <w:iCs/>
          <w:sz w:val="24"/>
        </w:rPr>
        <w:t>The Academy of Management Annals</w:t>
      </w:r>
      <w:r w:rsidRPr="00AC58E7">
        <w:rPr>
          <w:rFonts w:ascii="Times New Roman" w:eastAsia="Calibri" w:hAnsi="Times New Roman"/>
          <w:sz w:val="24"/>
        </w:rPr>
        <w:t xml:space="preserve">, </w:t>
      </w:r>
      <w:r w:rsidRPr="00AC58E7">
        <w:rPr>
          <w:rFonts w:ascii="Times New Roman" w:eastAsia="Calibri" w:hAnsi="Times New Roman"/>
          <w:b/>
          <w:iCs/>
          <w:sz w:val="24"/>
        </w:rPr>
        <w:t>8</w:t>
      </w:r>
      <w:r w:rsidRPr="00AC58E7">
        <w:rPr>
          <w:rFonts w:ascii="Times New Roman" w:eastAsia="Calibri" w:hAnsi="Times New Roman"/>
          <w:sz w:val="24"/>
        </w:rPr>
        <w:t>, 397–441.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Battilana, J., Leca, B. and Boxenbaum, E. (2009). ‘How actors change institutions: Towards a theory of institutional entrepreneurship’. </w:t>
      </w:r>
      <w:r w:rsidRPr="00AC58E7">
        <w:rPr>
          <w:rFonts w:ascii="Times New Roman" w:eastAsia="Calibri" w:hAnsi="Times New Roman"/>
          <w:bCs/>
          <w:i/>
          <w:iCs/>
          <w:kern w:val="1"/>
          <w:sz w:val="24"/>
        </w:rPr>
        <w:t>The Academy of Management Annals</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3</w:t>
      </w:r>
      <w:r w:rsidRPr="00AC58E7">
        <w:rPr>
          <w:rFonts w:ascii="Times New Roman" w:eastAsia="Calibri" w:hAnsi="Times New Roman"/>
          <w:kern w:val="1"/>
          <w:sz w:val="24"/>
        </w:rPr>
        <w:t>, 65–107.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Benford, R. D. and Snow, D. A. (2000). ‘Framing processes and social movements: An overview and assessment’. </w:t>
      </w:r>
      <w:r w:rsidRPr="00AC58E7">
        <w:rPr>
          <w:rFonts w:ascii="Times New Roman" w:eastAsia="Calibri" w:hAnsi="Times New Roman"/>
          <w:bCs/>
          <w:i/>
          <w:iCs/>
          <w:sz w:val="24"/>
        </w:rPr>
        <w:t>Annual Review of Sociology</w:t>
      </w:r>
      <w:r w:rsidRPr="00AC58E7">
        <w:rPr>
          <w:rFonts w:ascii="Times New Roman" w:eastAsia="Calibri" w:hAnsi="Times New Roman"/>
          <w:sz w:val="24"/>
        </w:rPr>
        <w:t xml:space="preserve">, </w:t>
      </w:r>
      <w:r w:rsidRPr="00AC58E7">
        <w:rPr>
          <w:rFonts w:ascii="Times New Roman" w:eastAsia="Calibri" w:hAnsi="Times New Roman"/>
          <w:b/>
          <w:sz w:val="24"/>
        </w:rPr>
        <w:t>26</w:t>
      </w:r>
      <w:r w:rsidRPr="00AC58E7">
        <w:rPr>
          <w:rFonts w:ascii="Times New Roman" w:eastAsia="Calibri" w:hAnsi="Times New Roman"/>
          <w:sz w:val="24"/>
        </w:rPr>
        <w:t>, 611–639.</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Bernstein, B. (1971). </w:t>
      </w:r>
      <w:r w:rsidRPr="00AC58E7">
        <w:rPr>
          <w:rFonts w:ascii="Times New Roman" w:eastAsia="Calibri" w:hAnsi="Times New Roman"/>
          <w:bCs/>
          <w:i/>
          <w:iCs/>
          <w:sz w:val="24"/>
        </w:rPr>
        <w:t>Class, Codes and Control. V</w:t>
      </w:r>
      <w:r w:rsidRPr="00AC58E7">
        <w:rPr>
          <w:rFonts w:ascii="Times New Roman" w:eastAsia="Calibri" w:hAnsi="Times New Roman"/>
          <w:i/>
          <w:sz w:val="24"/>
        </w:rPr>
        <w:t>olume 1</w:t>
      </w:r>
      <w:r>
        <w:rPr>
          <w:rFonts w:ascii="Times New Roman" w:eastAsia="Calibri" w:hAnsi="Times New Roman"/>
          <w:i/>
          <w:sz w:val="24"/>
        </w:rPr>
        <w:t xml:space="preserve">: Theoretical Studies Towards a </w:t>
      </w:r>
      <w:r w:rsidRPr="00AC58E7">
        <w:rPr>
          <w:rFonts w:ascii="Times New Roman" w:eastAsia="Calibri" w:hAnsi="Times New Roman"/>
          <w:i/>
          <w:sz w:val="24"/>
        </w:rPr>
        <w:t>Sociology of Language</w:t>
      </w:r>
      <w:r w:rsidRPr="00AC58E7">
        <w:rPr>
          <w:rFonts w:ascii="Times New Roman" w:eastAsia="Calibri" w:hAnsi="Times New Roman"/>
          <w:sz w:val="24"/>
        </w:rPr>
        <w:t>. London, UK: Routledge and Kegan Paul.</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Besharov, M. L. and Smith, W. K. (2014). ‘Multiple institutional logics in organizations: Explaining their varied nature and implications’.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39</w:t>
      </w:r>
      <w:r w:rsidRPr="00AC58E7">
        <w:rPr>
          <w:rFonts w:ascii="Times New Roman" w:eastAsia="Calibri" w:hAnsi="Times New Roman"/>
          <w:sz w:val="24"/>
        </w:rPr>
        <w:t>, 364–381.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C85CE3">
        <w:rPr>
          <w:rFonts w:ascii="Times New Roman" w:eastAsia="Calibri" w:hAnsi="Times New Roman"/>
          <w:sz w:val="24"/>
        </w:rPr>
        <w:t xml:space="preserve">Bies, R. J., Bartunek, J. M., Fort, T. L. and Zald, M. N. (2007). ‘Corporations as social change agents: Individual, interpersonal, institutional, and environmental dynamics’. </w:t>
      </w:r>
      <w:r w:rsidRPr="00C85CE3">
        <w:rPr>
          <w:rFonts w:ascii="Times New Roman" w:eastAsia="Calibri" w:hAnsi="Times New Roman"/>
          <w:i/>
          <w:sz w:val="24"/>
        </w:rPr>
        <w:t xml:space="preserve">Academy of Management Review, </w:t>
      </w:r>
      <w:r w:rsidRPr="00C85CE3">
        <w:rPr>
          <w:rFonts w:ascii="Times New Roman" w:eastAsia="Calibri" w:hAnsi="Times New Roman"/>
          <w:b/>
          <w:sz w:val="24"/>
        </w:rPr>
        <w:t>32,</w:t>
      </w:r>
      <w:r w:rsidRPr="00C85CE3">
        <w:rPr>
          <w:rFonts w:ascii="Times New Roman" w:eastAsia="Calibri" w:hAnsi="Times New Roman"/>
          <w:sz w:val="24"/>
        </w:rPr>
        <w:t xml:space="preserve"> 788–793.</w:t>
      </w:r>
      <w:r w:rsidRPr="00AC58E7">
        <w:rPr>
          <w:rFonts w:ascii="Times New Roman" w:eastAsia="Calibri" w:hAnsi="Times New Roman"/>
          <w:sz w:val="24"/>
        </w:rPr>
        <w:t xml:space="preserve"> </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rPr>
        <w:t xml:space="preserve">Bitektine, A. and Haack, P. (2015). </w:t>
      </w:r>
      <w:r>
        <w:rPr>
          <w:rFonts w:ascii="Times New Roman" w:hAnsi="Times New Roman" w:cs="Times New Roman"/>
          <w:color w:val="auto"/>
          <w:sz w:val="24"/>
          <w:szCs w:val="24"/>
        </w:rPr>
        <w:t>‘</w:t>
      </w:r>
      <w:r w:rsidRPr="00AC58E7">
        <w:rPr>
          <w:rFonts w:ascii="Times New Roman" w:hAnsi="Times New Roman" w:cs="Times New Roman"/>
          <w:color w:val="auto"/>
          <w:sz w:val="24"/>
          <w:szCs w:val="24"/>
        </w:rPr>
        <w:t>The macro and the micro of legitimacy: Towards a multi-level theory of the legitimacy process</w:t>
      </w:r>
      <w:r>
        <w:rPr>
          <w:rFonts w:ascii="Times New Roman" w:hAnsi="Times New Roman" w:cs="Times New Roman"/>
          <w:color w:val="auto"/>
          <w:sz w:val="24"/>
          <w:szCs w:val="24"/>
        </w:rPr>
        <w:t>’</w:t>
      </w:r>
      <w:r w:rsidRPr="00AC58E7">
        <w:rPr>
          <w:rFonts w:ascii="Times New Roman" w:hAnsi="Times New Roman" w:cs="Times New Roman"/>
          <w:color w:val="auto"/>
          <w:sz w:val="24"/>
          <w:szCs w:val="24"/>
        </w:rPr>
        <w:t xml:space="preserve">. </w:t>
      </w:r>
      <w:r w:rsidRPr="00AC58E7">
        <w:rPr>
          <w:rFonts w:ascii="Times New Roman" w:hAnsi="Times New Roman" w:cs="Times New Roman"/>
          <w:i/>
          <w:color w:val="auto"/>
          <w:sz w:val="24"/>
          <w:szCs w:val="24"/>
        </w:rPr>
        <w:t>Academy of Management Review,</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40,</w:t>
      </w:r>
      <w:r>
        <w:rPr>
          <w:rFonts w:ascii="Times New Roman" w:hAnsi="Times New Roman" w:cs="Times New Roman"/>
          <w:color w:val="auto"/>
          <w:sz w:val="24"/>
          <w:szCs w:val="24"/>
        </w:rPr>
        <w:t xml:space="preserve"> 49</w:t>
      </w:r>
      <w:r w:rsidRPr="00AC58E7">
        <w:rPr>
          <w:rFonts w:ascii="Times New Roman" w:eastAsia="Calibri" w:hAnsi="Times New Roman"/>
          <w:sz w:val="24"/>
        </w:rPr>
        <w:t>–</w:t>
      </w:r>
      <w:r w:rsidRPr="00AC58E7">
        <w:rPr>
          <w:rFonts w:ascii="Times New Roman" w:hAnsi="Times New Roman" w:cs="Times New Roman"/>
          <w:color w:val="auto"/>
          <w:sz w:val="24"/>
          <w:szCs w:val="24"/>
        </w:rPr>
        <w:t>75.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Bode, C. S. and Santos, F. (2013). </w:t>
      </w:r>
      <w:r w:rsidRPr="00AC58E7">
        <w:rPr>
          <w:rFonts w:ascii="Times New Roman" w:eastAsia="Calibri" w:hAnsi="Times New Roman"/>
          <w:bCs/>
          <w:i/>
          <w:iCs/>
          <w:sz w:val="24"/>
        </w:rPr>
        <w:t>The Organizational Foundations of Corporate Social Entrepreneurship</w:t>
      </w:r>
      <w:r w:rsidRPr="00AC58E7">
        <w:rPr>
          <w:rFonts w:ascii="Times New Roman" w:eastAsia="Calibri" w:hAnsi="Times New Roman"/>
          <w:b/>
          <w:bCs/>
          <w:i/>
          <w:iCs/>
          <w:sz w:val="24"/>
        </w:rPr>
        <w:t xml:space="preserve">. </w:t>
      </w:r>
      <w:r w:rsidRPr="00AC58E7">
        <w:rPr>
          <w:rFonts w:ascii="Times New Roman" w:eastAsia="Calibri" w:hAnsi="Times New Roman"/>
          <w:sz w:val="24"/>
        </w:rPr>
        <w:t>Working paper 2013/07/EFE/ST/ICE, INSEAD, Fontainebleau, France.</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Brenneke, M. and Spitzeck, H. (2010). ‘Social intrapreneurs – Bottom-up social innovation’. </w:t>
      </w:r>
      <w:r w:rsidRPr="00AC58E7">
        <w:rPr>
          <w:rFonts w:ascii="Times New Roman" w:eastAsia="Calibri" w:hAnsi="Times New Roman"/>
          <w:bCs/>
          <w:i/>
          <w:iCs/>
          <w:kern w:val="1"/>
          <w:sz w:val="24"/>
        </w:rPr>
        <w:t>International Review of Entrepreneurship</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8</w:t>
      </w:r>
      <w:r w:rsidRPr="00AC58E7">
        <w:rPr>
          <w:rFonts w:ascii="Times New Roman" w:eastAsia="Calibri" w:hAnsi="Times New Roman"/>
          <w:kern w:val="1"/>
          <w:sz w:val="24"/>
        </w:rPr>
        <w:t>, 157–176.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Bulloch, G. (2012). </w:t>
      </w:r>
      <w:r w:rsidRPr="00AC58E7">
        <w:rPr>
          <w:rFonts w:ascii="Times New Roman" w:eastAsia="Calibri" w:hAnsi="Times New Roman"/>
          <w:i/>
          <w:kern w:val="1"/>
          <w:sz w:val="24"/>
        </w:rPr>
        <w:t>Inside-Out Transformation: A Hybrid Business Model for a Converging World</w:t>
      </w:r>
      <w:r w:rsidRPr="00AC58E7">
        <w:rPr>
          <w:rFonts w:ascii="Times New Roman" w:eastAsia="Calibri" w:hAnsi="Times New Roman"/>
          <w:kern w:val="1"/>
          <w:sz w:val="24"/>
        </w:rPr>
        <w:t xml:space="preserve">. </w:t>
      </w:r>
      <w:r w:rsidRPr="00AC58E7">
        <w:rPr>
          <w:rFonts w:ascii="Times New Roman" w:eastAsia="Calibri" w:hAnsi="Times New Roman" w:cs="Times New Roman"/>
          <w:bCs/>
          <w:sz w:val="24"/>
        </w:rPr>
        <w:t>Available at: http://</w:t>
      </w:r>
      <w:r w:rsidRPr="00AC58E7">
        <w:rPr>
          <w:rFonts w:ascii="Times New Roman" w:eastAsia="Calibri" w:hAnsi="Times New Roman"/>
          <w:kern w:val="1"/>
          <w:sz w:val="24"/>
        </w:rPr>
        <w:t>www.managementexchange.com/story/isnide-out-transformation (accessed 13 November 2014).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Bundy, J., Shropshire, C. and Buchholtz, A. K. (2013). ‘Strategic cognition and issue salience: Toward an explanation of firm responsiveness to stakeholder concerns’.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38</w:t>
      </w:r>
      <w:r w:rsidRPr="00AC58E7">
        <w:rPr>
          <w:rFonts w:ascii="Times New Roman" w:eastAsia="Calibri" w:hAnsi="Times New Roman"/>
          <w:sz w:val="24"/>
        </w:rPr>
        <w:t>, 352–376.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Burgelman, R. A. (1983). ‘A process model of internal corporate venturing in the diversified major firm’. </w:t>
      </w:r>
      <w:r w:rsidRPr="00AC58E7">
        <w:rPr>
          <w:rFonts w:ascii="Times New Roman" w:eastAsia="Calibri" w:hAnsi="Times New Roman"/>
          <w:i/>
          <w:kern w:val="1"/>
          <w:sz w:val="24"/>
        </w:rPr>
        <w:t>Administrative Science Quarterly</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28</w:t>
      </w:r>
      <w:r w:rsidRPr="00AC58E7">
        <w:rPr>
          <w:rFonts w:ascii="Times New Roman" w:eastAsia="Calibri" w:hAnsi="Times New Roman"/>
          <w:kern w:val="1"/>
          <w:sz w:val="24"/>
        </w:rPr>
        <w:t>, 223</w:t>
      </w:r>
      <w:r w:rsidRPr="00AC58E7">
        <w:rPr>
          <w:rFonts w:ascii="Times New Roman" w:eastAsia="Calibri" w:hAnsi="Times New Roman"/>
          <w:sz w:val="24"/>
        </w:rPr>
        <w:t>–</w:t>
      </w:r>
      <w:r w:rsidRPr="00AC58E7">
        <w:rPr>
          <w:rFonts w:ascii="Times New Roman" w:eastAsia="Calibri" w:hAnsi="Times New Roman"/>
          <w:kern w:val="1"/>
          <w:sz w:val="24"/>
        </w:rPr>
        <w:t>244.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Campbell, J. L. (2005). ‘Where do we stand? Common mechanisms in organizations and social movements research’. In Davis, G. F., McAdam, D., Scott, W. R. and Zald, M. N. (Eds.), </w:t>
      </w:r>
      <w:r w:rsidRPr="00AC58E7">
        <w:rPr>
          <w:rFonts w:ascii="Times New Roman" w:eastAsia="Calibri" w:hAnsi="Times New Roman"/>
          <w:bCs/>
          <w:i/>
          <w:iCs/>
          <w:kern w:val="1"/>
          <w:sz w:val="24"/>
        </w:rPr>
        <w:t>Social Movements and Organization Theory</w:t>
      </w:r>
      <w:r w:rsidRPr="00AC58E7">
        <w:rPr>
          <w:rFonts w:ascii="Times New Roman" w:eastAsia="Calibri" w:hAnsi="Times New Roman"/>
          <w:kern w:val="1"/>
          <w:sz w:val="24"/>
        </w:rPr>
        <w:t>. New York, NY: Cambridge University Press</w:t>
      </w:r>
      <w:r w:rsidRPr="00AC58E7">
        <w:rPr>
          <w:rFonts w:ascii="Times New Roman" w:eastAsia="Calibri" w:hAnsi="Times New Roman"/>
          <w:sz w:val="24"/>
        </w:rPr>
        <w:t xml:space="preserve">, </w:t>
      </w:r>
      <w:r w:rsidRPr="00AC58E7">
        <w:rPr>
          <w:rFonts w:ascii="Times New Roman" w:eastAsia="Calibri" w:hAnsi="Times New Roman"/>
          <w:kern w:val="1"/>
          <w:sz w:val="24"/>
        </w:rPr>
        <w:t>41–72.</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Carroll, A. B. and Shabana, K. M. (2010). ‘The business case for corporate social responsibility: A review of concepts, research and practice’. </w:t>
      </w:r>
      <w:r w:rsidRPr="00AC58E7">
        <w:rPr>
          <w:rFonts w:ascii="Times New Roman" w:eastAsia="Calibri" w:hAnsi="Times New Roman"/>
          <w:i/>
          <w:iCs/>
          <w:sz w:val="24"/>
        </w:rPr>
        <w:t>International Journal of Management Reviews</w:t>
      </w:r>
      <w:r w:rsidRPr="00AC58E7">
        <w:rPr>
          <w:rFonts w:ascii="Times New Roman" w:eastAsia="Calibri" w:hAnsi="Times New Roman"/>
          <w:sz w:val="24"/>
        </w:rPr>
        <w:t xml:space="preserve">, </w:t>
      </w:r>
      <w:r w:rsidRPr="00AC58E7">
        <w:rPr>
          <w:rFonts w:ascii="Times New Roman" w:eastAsia="Calibri" w:hAnsi="Times New Roman"/>
          <w:b/>
          <w:iCs/>
          <w:sz w:val="24"/>
        </w:rPr>
        <w:t>12</w:t>
      </w:r>
      <w:r w:rsidRPr="00AC58E7">
        <w:rPr>
          <w:rFonts w:ascii="Times New Roman" w:eastAsia="Calibri" w:hAnsi="Times New Roman"/>
          <w:sz w:val="24"/>
        </w:rPr>
        <w:t>, 85–105.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Cornelissen, J. P., Durand, R., Fiss, P. C., Lammers, J. C. and Vaara, E. (2015). ‘Putting communication front and center in institutional theory and analysis’.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40</w:t>
      </w:r>
      <w:r w:rsidRPr="00AC58E7">
        <w:rPr>
          <w:rFonts w:ascii="Times New Roman" w:eastAsia="Calibri" w:hAnsi="Times New Roman"/>
          <w:sz w:val="24"/>
        </w:rPr>
        <w:t>, 10–27.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lang w:val="en-GB"/>
        </w:rPr>
        <w:t xml:space="preserve">Cornelissen, J. P., Holt, R. and Zundel, M. (2011). </w:t>
      </w:r>
      <w:r w:rsidRPr="00AC58E7">
        <w:rPr>
          <w:rFonts w:ascii="Times New Roman" w:eastAsia="Calibri" w:hAnsi="Times New Roman"/>
          <w:sz w:val="24"/>
        </w:rPr>
        <w:t xml:space="preserve">‘The role of analogy and metaphor in the framing and legitimization of strategic change’. </w:t>
      </w:r>
      <w:r w:rsidRPr="00AC58E7">
        <w:rPr>
          <w:rFonts w:ascii="Times New Roman" w:eastAsia="Calibri" w:hAnsi="Times New Roman"/>
          <w:i/>
          <w:iCs/>
          <w:sz w:val="24"/>
        </w:rPr>
        <w:t>Organization Studies</w:t>
      </w:r>
      <w:r w:rsidRPr="00AC58E7">
        <w:rPr>
          <w:rFonts w:ascii="Times New Roman" w:eastAsia="Calibri" w:hAnsi="Times New Roman"/>
          <w:sz w:val="24"/>
        </w:rPr>
        <w:t xml:space="preserve">, </w:t>
      </w:r>
      <w:r w:rsidRPr="00AC58E7">
        <w:rPr>
          <w:rFonts w:ascii="Times New Roman" w:eastAsia="Calibri" w:hAnsi="Times New Roman"/>
          <w:b/>
          <w:iCs/>
          <w:sz w:val="24"/>
        </w:rPr>
        <w:t>32</w:t>
      </w:r>
      <w:r w:rsidRPr="00AC58E7">
        <w:rPr>
          <w:rFonts w:ascii="Times New Roman" w:eastAsia="Calibri" w:hAnsi="Times New Roman"/>
          <w:sz w:val="24"/>
        </w:rPr>
        <w:t>, 1701–1716.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Cornelissen, J. P. and Werner, M. D. (2014). ‘Putting framing in perspective: A review of framing and frame analysis across the management and organizational literature’. </w:t>
      </w:r>
      <w:r w:rsidRPr="00AC58E7">
        <w:rPr>
          <w:rFonts w:ascii="Times New Roman" w:eastAsia="Calibri" w:hAnsi="Times New Roman"/>
          <w:i/>
          <w:iCs/>
          <w:sz w:val="24"/>
        </w:rPr>
        <w:t>The Academy of Management Annals</w:t>
      </w:r>
      <w:r w:rsidRPr="00AC58E7">
        <w:rPr>
          <w:rFonts w:ascii="Times New Roman" w:eastAsia="Calibri" w:hAnsi="Times New Roman"/>
          <w:sz w:val="24"/>
        </w:rPr>
        <w:t xml:space="preserve">, </w:t>
      </w:r>
      <w:r w:rsidRPr="00AC58E7">
        <w:rPr>
          <w:rFonts w:ascii="Times New Roman" w:eastAsia="Calibri" w:hAnsi="Times New Roman"/>
          <w:b/>
          <w:iCs/>
          <w:sz w:val="24"/>
        </w:rPr>
        <w:t>8</w:t>
      </w:r>
      <w:r w:rsidRPr="00AC58E7">
        <w:rPr>
          <w:rFonts w:ascii="Times New Roman" w:eastAsia="Calibri" w:hAnsi="Times New Roman"/>
          <w:sz w:val="24"/>
        </w:rPr>
        <w:t>, 181–235.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Crane, A. (2000). ‘Corporate greening as amoralization’. </w:t>
      </w:r>
      <w:r w:rsidRPr="00AC58E7">
        <w:rPr>
          <w:rFonts w:ascii="Times New Roman" w:eastAsia="Calibri" w:hAnsi="Times New Roman"/>
          <w:i/>
          <w:iCs/>
          <w:sz w:val="24"/>
        </w:rPr>
        <w:t>Organization Studies</w:t>
      </w:r>
      <w:r w:rsidRPr="00AC58E7">
        <w:rPr>
          <w:rFonts w:ascii="Times New Roman" w:eastAsia="Calibri" w:hAnsi="Times New Roman"/>
          <w:sz w:val="24"/>
        </w:rPr>
        <w:t xml:space="preserve">, </w:t>
      </w:r>
      <w:r w:rsidRPr="00AC58E7">
        <w:rPr>
          <w:rFonts w:ascii="Times New Roman" w:eastAsia="Calibri" w:hAnsi="Times New Roman"/>
          <w:b/>
          <w:iCs/>
          <w:sz w:val="24"/>
        </w:rPr>
        <w:t>21</w:t>
      </w:r>
      <w:r w:rsidRPr="00AC58E7">
        <w:rPr>
          <w:rFonts w:ascii="Times New Roman" w:eastAsia="Calibri" w:hAnsi="Times New Roman"/>
          <w:sz w:val="24"/>
        </w:rPr>
        <w:t>, 673–696.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Creed, W. D., Langstraat, J. A. and Scully, M. A. (2002b). ‘A picture of the frame: Frame analysis as technique and as politics’. </w:t>
      </w:r>
      <w:r w:rsidRPr="00AC58E7">
        <w:rPr>
          <w:rFonts w:ascii="Times New Roman" w:eastAsia="Calibri" w:hAnsi="Times New Roman"/>
          <w:i/>
          <w:sz w:val="24"/>
        </w:rPr>
        <w:t>Organizational Research Methods</w:t>
      </w:r>
      <w:r w:rsidRPr="00AC58E7">
        <w:rPr>
          <w:rFonts w:ascii="Times New Roman" w:eastAsia="Calibri" w:hAnsi="Times New Roman"/>
          <w:sz w:val="24"/>
        </w:rPr>
        <w:t xml:space="preserve">, </w:t>
      </w:r>
      <w:r w:rsidRPr="00AC58E7">
        <w:rPr>
          <w:rFonts w:ascii="Times New Roman" w:eastAsia="Calibri" w:hAnsi="Times New Roman"/>
          <w:b/>
          <w:sz w:val="24"/>
        </w:rPr>
        <w:t>5</w:t>
      </w:r>
      <w:r w:rsidRPr="00AC58E7">
        <w:rPr>
          <w:rFonts w:ascii="Times New Roman" w:eastAsia="Calibri" w:hAnsi="Times New Roman"/>
          <w:sz w:val="24"/>
        </w:rPr>
        <w:t>, 34–55.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Creed, W. D., Scully, M. A. and Austin, J. R. (2002a). ‘Clothes make the person? The tailoring of legitimating accounts and the social construction of identity’. </w:t>
      </w:r>
      <w:r w:rsidRPr="00AC58E7">
        <w:rPr>
          <w:rFonts w:ascii="Times New Roman" w:eastAsia="Calibri" w:hAnsi="Times New Roman"/>
          <w:i/>
          <w:sz w:val="24"/>
        </w:rPr>
        <w:t xml:space="preserve">Organization Science, </w:t>
      </w:r>
      <w:r w:rsidRPr="00AC58E7">
        <w:rPr>
          <w:rFonts w:ascii="Times New Roman" w:eastAsia="Calibri" w:hAnsi="Times New Roman"/>
          <w:b/>
          <w:sz w:val="24"/>
        </w:rPr>
        <w:t>13,</w:t>
      </w:r>
      <w:r w:rsidRPr="00AC58E7">
        <w:rPr>
          <w:rFonts w:ascii="Times New Roman" w:eastAsia="Calibri" w:hAnsi="Times New Roman"/>
          <w:sz w:val="24"/>
        </w:rPr>
        <w:t xml:space="preserve"> 475–496.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Crilly, D. and Sloan, P. (2012). ‘Enterprise logic: Explaining corporate attention to stakeholders from the ‘inside</w:t>
      </w:r>
      <w:r w:rsidRPr="00AC58E7">
        <w:rPr>
          <w:rFonts w:ascii="Times New Roman" w:eastAsia="Calibri" w:hAnsi="Times New Roman" w:cs="Menlo Regular"/>
          <w:sz w:val="24"/>
        </w:rPr>
        <w:t>-</w:t>
      </w:r>
      <w:r w:rsidRPr="00AC58E7">
        <w:rPr>
          <w:rFonts w:ascii="Times New Roman" w:eastAsia="Calibri" w:hAnsi="Times New Roman"/>
          <w:sz w:val="24"/>
        </w:rPr>
        <w:t xml:space="preserve">out’’. </w:t>
      </w:r>
      <w:r w:rsidRPr="00AC58E7">
        <w:rPr>
          <w:rFonts w:ascii="Times New Roman" w:eastAsia="Calibri" w:hAnsi="Times New Roman"/>
          <w:i/>
          <w:iCs/>
          <w:sz w:val="24"/>
        </w:rPr>
        <w:t>Strategic Management Journal</w:t>
      </w:r>
      <w:r w:rsidRPr="00AC58E7">
        <w:rPr>
          <w:rFonts w:ascii="Times New Roman" w:eastAsia="Calibri" w:hAnsi="Times New Roman"/>
          <w:sz w:val="24"/>
        </w:rPr>
        <w:t xml:space="preserve">, </w:t>
      </w:r>
      <w:r w:rsidRPr="00AC58E7">
        <w:rPr>
          <w:rFonts w:ascii="Times New Roman" w:eastAsia="Calibri" w:hAnsi="Times New Roman"/>
          <w:b/>
          <w:iCs/>
          <w:sz w:val="24"/>
        </w:rPr>
        <w:t>33</w:t>
      </w:r>
      <w:r w:rsidRPr="00AC58E7">
        <w:rPr>
          <w:rFonts w:ascii="Times New Roman" w:eastAsia="Calibri" w:hAnsi="Times New Roman"/>
          <w:sz w:val="24"/>
        </w:rPr>
        <w:t>, 1174–1193.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Dacin, M. T., Dacin, P. A. and Tracey, P. (2011). ‘Social entrepreneurship: A critique and future directions’. </w:t>
      </w:r>
      <w:r w:rsidRPr="00AC58E7">
        <w:rPr>
          <w:rFonts w:ascii="Times New Roman" w:eastAsia="Calibri" w:hAnsi="Times New Roman"/>
          <w:bCs/>
          <w:i/>
          <w:iCs/>
          <w:kern w:val="1"/>
          <w:sz w:val="24"/>
        </w:rPr>
        <w:t>Organization Science</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22</w:t>
      </w:r>
      <w:r w:rsidRPr="00AC58E7">
        <w:rPr>
          <w:rFonts w:ascii="Times New Roman" w:eastAsia="Calibri" w:hAnsi="Times New Roman"/>
          <w:kern w:val="1"/>
          <w:sz w:val="24"/>
        </w:rPr>
        <w:t>, 1203–1213.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C26DD6">
        <w:rPr>
          <w:rFonts w:ascii="Times New Roman" w:hAnsi="Times New Roman" w:cs="Times New Roman"/>
          <w:color w:val="auto"/>
          <w:sz w:val="24"/>
          <w:szCs w:val="24"/>
        </w:rPr>
        <w:t xml:space="preserve">Davis, G. and White, C. (2015). </w:t>
      </w:r>
      <w:r w:rsidRPr="00C26DD6">
        <w:rPr>
          <w:rFonts w:ascii="Times New Roman" w:hAnsi="Times New Roman" w:cs="Times New Roman"/>
          <w:i/>
          <w:iCs/>
          <w:color w:val="auto"/>
          <w:sz w:val="24"/>
          <w:szCs w:val="24"/>
        </w:rPr>
        <w:t>Changing Your Company from the Inside Out: A Guide for Social Intrapreneurs</w:t>
      </w:r>
      <w:r w:rsidRPr="00C26DD6">
        <w:rPr>
          <w:rFonts w:ascii="Times New Roman" w:hAnsi="Times New Roman" w:cs="Times New Roman"/>
          <w:color w:val="auto"/>
          <w:sz w:val="24"/>
          <w:szCs w:val="24"/>
        </w:rPr>
        <w:t>. Boston, MA: Harvard Business Review Press.</w:t>
      </w:r>
    </w:p>
    <w:p w:rsidR="00FF2A8D" w:rsidRPr="00AC58E7" w:rsidRDefault="00FF2A8D" w:rsidP="00FF2A8D">
      <w:pPr>
        <w:autoSpaceDE w:val="0"/>
        <w:autoSpaceDN w:val="0"/>
        <w:adjustRightInd w:val="0"/>
        <w:spacing w:line="480" w:lineRule="auto"/>
        <w:ind w:left="397" w:hanging="397"/>
        <w:rPr>
          <w:rFonts w:ascii="Times New Roman" w:eastAsia="Calibri" w:hAnsi="Times New Roman"/>
          <w:i/>
          <w:kern w:val="1"/>
          <w:sz w:val="24"/>
        </w:rPr>
      </w:pPr>
      <w:r w:rsidRPr="00AC58E7">
        <w:rPr>
          <w:rFonts w:ascii="Times New Roman" w:eastAsia="Calibri" w:hAnsi="Times New Roman"/>
          <w:kern w:val="1"/>
          <w:sz w:val="24"/>
        </w:rPr>
        <w:t xml:space="preserve">Davis, G. F. and Zald, M. N. (2005). ‘Social change, social theory, and the convergence of movements and organizations’. In G. F. Davis, D. McAdam, W. R. Scott, and M. N. Zald (eds.), </w:t>
      </w:r>
      <w:r w:rsidRPr="00AC58E7">
        <w:rPr>
          <w:rFonts w:ascii="Times New Roman" w:eastAsia="Calibri" w:hAnsi="Times New Roman"/>
          <w:i/>
          <w:kern w:val="1"/>
          <w:sz w:val="24"/>
        </w:rPr>
        <w:t>Social Movements and Organization Theory.</w:t>
      </w:r>
      <w:r w:rsidRPr="00AC58E7">
        <w:rPr>
          <w:rFonts w:ascii="Times New Roman" w:eastAsia="Calibri" w:hAnsi="Times New Roman"/>
          <w:kern w:val="1"/>
          <w:sz w:val="24"/>
        </w:rPr>
        <w:t xml:space="preserve"> New York: Cambridge University Press, 335–350.</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hAnsi="Times New Roman"/>
          <w:color w:val="auto"/>
          <w:sz w:val="24"/>
          <w:szCs w:val="19"/>
        </w:rPr>
        <w:t>De Clercq, D., Castañer, X. and Belausteguigoitia, I. (2011). ‘Entrepreneurial initiative selling within organizations: Towards a more comprehensive motivational framework’.</w:t>
      </w:r>
      <w:r w:rsidRPr="00AC58E7">
        <w:rPr>
          <w:rFonts w:ascii="Times New Roman" w:hAnsi="Times New Roman" w:cs="Times New Roman"/>
          <w:color w:val="auto"/>
          <w:sz w:val="24"/>
          <w:szCs w:val="19"/>
        </w:rPr>
        <w:t xml:space="preserve"> </w:t>
      </w:r>
      <w:r w:rsidRPr="00AC58E7">
        <w:rPr>
          <w:rFonts w:ascii="Times New Roman" w:hAnsi="Times New Roman"/>
          <w:i/>
          <w:iCs/>
          <w:color w:val="auto"/>
          <w:sz w:val="24"/>
          <w:szCs w:val="19"/>
        </w:rPr>
        <w:t>Journal of Management Studies</w:t>
      </w:r>
      <w:r w:rsidRPr="00AC58E7">
        <w:rPr>
          <w:rFonts w:ascii="Times New Roman" w:hAnsi="Times New Roman" w:cs="Times New Roman"/>
          <w:color w:val="auto"/>
          <w:sz w:val="24"/>
          <w:szCs w:val="19"/>
        </w:rPr>
        <w:t xml:space="preserve">, </w:t>
      </w:r>
      <w:r w:rsidRPr="00AC58E7">
        <w:rPr>
          <w:rFonts w:ascii="Times New Roman" w:hAnsi="Times New Roman"/>
          <w:b/>
          <w:iCs/>
          <w:color w:val="auto"/>
          <w:sz w:val="24"/>
          <w:szCs w:val="19"/>
        </w:rPr>
        <w:t>48</w:t>
      </w:r>
      <w:r w:rsidRPr="00AC58E7">
        <w:rPr>
          <w:rFonts w:ascii="Times New Roman" w:hAnsi="Times New Roman"/>
          <w:color w:val="auto"/>
          <w:sz w:val="24"/>
          <w:szCs w:val="19"/>
        </w:rPr>
        <w:t>, 1269–1290.</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Dutton, J. E. and Ashford, S. J. (1993). ‘Selling issues to top management’. </w:t>
      </w:r>
      <w:r w:rsidRPr="00AC58E7">
        <w:rPr>
          <w:rFonts w:ascii="Times New Roman" w:eastAsia="Calibri" w:hAnsi="Times New Roman"/>
          <w:bCs/>
          <w:i/>
          <w:iCs/>
          <w:kern w:val="1"/>
          <w:sz w:val="24"/>
        </w:rPr>
        <w:t>Academy of Management Review</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18</w:t>
      </w:r>
      <w:r w:rsidRPr="00AC58E7">
        <w:rPr>
          <w:rFonts w:ascii="Times New Roman" w:eastAsia="Calibri" w:hAnsi="Times New Roman"/>
          <w:kern w:val="1"/>
          <w:sz w:val="24"/>
        </w:rPr>
        <w:t>, 397–428.</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Dutton, J. E., Ashford, S. J., Lawrence, K. A. and Miner-Rubino, K. (2002). ‘Red light, green light: Making sense of the organizational context for issue selling’. </w:t>
      </w:r>
      <w:r w:rsidRPr="00AC58E7">
        <w:rPr>
          <w:rFonts w:ascii="Times New Roman" w:eastAsia="Calibri" w:hAnsi="Times New Roman"/>
          <w:bCs/>
          <w:i/>
          <w:iCs/>
          <w:kern w:val="1"/>
          <w:sz w:val="24"/>
        </w:rPr>
        <w:t>Organization Science</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13</w:t>
      </w:r>
      <w:r w:rsidRPr="00AC58E7">
        <w:rPr>
          <w:rFonts w:ascii="Times New Roman" w:eastAsia="Calibri" w:hAnsi="Times New Roman"/>
          <w:kern w:val="1"/>
          <w:sz w:val="24"/>
        </w:rPr>
        <w:t>, 355–369.</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Dutton, J. E., Ashford, S. J., O'Neill, R. M. and Lawrence, K. A. (2001). ‘Moves that matter: Issue selling and organizational change’. </w:t>
      </w:r>
      <w:r w:rsidRPr="00AC58E7">
        <w:rPr>
          <w:rFonts w:ascii="Times New Roman" w:eastAsia="Calibri" w:hAnsi="Times New Roman"/>
          <w:bCs/>
          <w:i/>
          <w:iCs/>
          <w:kern w:val="1"/>
          <w:sz w:val="24"/>
        </w:rPr>
        <w:t>Academy of Management Journal</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44</w:t>
      </w:r>
      <w:r w:rsidRPr="00AC58E7">
        <w:rPr>
          <w:rFonts w:ascii="Times New Roman" w:eastAsia="Calibri" w:hAnsi="Times New Roman"/>
          <w:kern w:val="1"/>
          <w:sz w:val="24"/>
        </w:rPr>
        <w:t>, 716–736.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Dutton, J. E., Ashford, S. J., O'Neill, R. M., Hayes, E. and Wierba, E. E. (1997). ‘Reading the wind: How middle managers assess the context for selling issues to top managers’. </w:t>
      </w:r>
      <w:r w:rsidRPr="00AC58E7">
        <w:rPr>
          <w:rFonts w:ascii="Times New Roman" w:eastAsia="Calibri" w:hAnsi="Times New Roman"/>
          <w:bCs/>
          <w:i/>
          <w:iCs/>
          <w:kern w:val="1"/>
          <w:sz w:val="24"/>
        </w:rPr>
        <w:t>Strategic Management Journal</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18</w:t>
      </w:r>
      <w:r w:rsidRPr="00AC58E7">
        <w:rPr>
          <w:rFonts w:ascii="Times New Roman" w:eastAsia="Calibri" w:hAnsi="Times New Roman"/>
          <w:kern w:val="1"/>
          <w:sz w:val="24"/>
        </w:rPr>
        <w:t>, 407–425.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Dutton, J. E., and Duncan, R. B. (1987). ‘The creation of momentum for change through the process of strategic issue diagnosis’. </w:t>
      </w:r>
      <w:r w:rsidRPr="00AC58E7">
        <w:rPr>
          <w:rFonts w:ascii="Times New Roman" w:eastAsia="Calibri" w:hAnsi="Times New Roman"/>
          <w:i/>
          <w:sz w:val="24"/>
        </w:rPr>
        <w:t>Strategic Management Journal</w:t>
      </w:r>
      <w:r w:rsidRPr="00AC58E7">
        <w:rPr>
          <w:rFonts w:ascii="Times New Roman" w:eastAsia="Calibri" w:hAnsi="Times New Roman"/>
          <w:sz w:val="24"/>
        </w:rPr>
        <w:t xml:space="preserve">, </w:t>
      </w:r>
      <w:r w:rsidRPr="00AC58E7">
        <w:rPr>
          <w:rFonts w:ascii="Times New Roman" w:eastAsia="Calibri" w:hAnsi="Times New Roman"/>
          <w:b/>
          <w:sz w:val="24"/>
        </w:rPr>
        <w:t>8</w:t>
      </w:r>
      <w:r w:rsidRPr="00AC58E7">
        <w:rPr>
          <w:rFonts w:ascii="Times New Roman" w:eastAsia="Calibri" w:hAnsi="Times New Roman"/>
          <w:sz w:val="24"/>
        </w:rPr>
        <w:t>, 279</w:t>
      </w:r>
      <w:r w:rsidRPr="00AC58E7">
        <w:rPr>
          <w:rFonts w:ascii="Times New Roman" w:eastAsia="Calibri" w:hAnsi="Times New Roman"/>
          <w:kern w:val="1"/>
          <w:sz w:val="24"/>
        </w:rPr>
        <w:t>–</w:t>
      </w:r>
      <w:r w:rsidRPr="00AC58E7">
        <w:rPr>
          <w:rFonts w:ascii="Times New Roman" w:eastAsia="Calibri" w:hAnsi="Times New Roman"/>
          <w:sz w:val="24"/>
        </w:rPr>
        <w:t>295.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Elkington, J. (1994). ‘Towards the sustainable corporation: Win-win-win business strategies for sustainable development’. </w:t>
      </w:r>
      <w:r w:rsidRPr="00AC58E7">
        <w:rPr>
          <w:rFonts w:ascii="Times New Roman" w:eastAsia="Calibri" w:hAnsi="Times New Roman"/>
          <w:i/>
          <w:sz w:val="24"/>
        </w:rPr>
        <w:t>California Management Review</w:t>
      </w:r>
      <w:r w:rsidRPr="00AC58E7">
        <w:rPr>
          <w:rFonts w:ascii="Times New Roman" w:eastAsia="Calibri" w:hAnsi="Times New Roman"/>
          <w:sz w:val="24"/>
        </w:rPr>
        <w:t xml:space="preserve">, </w:t>
      </w:r>
      <w:r w:rsidRPr="00AC58E7">
        <w:rPr>
          <w:rFonts w:ascii="Times New Roman" w:eastAsia="Calibri" w:hAnsi="Times New Roman"/>
          <w:b/>
          <w:sz w:val="24"/>
        </w:rPr>
        <w:t>36</w:t>
      </w:r>
      <w:r w:rsidRPr="00AC58E7">
        <w:rPr>
          <w:rFonts w:ascii="Times New Roman" w:eastAsia="Calibri" w:hAnsi="Times New Roman"/>
          <w:sz w:val="24"/>
        </w:rPr>
        <w:t>, 90–100.</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Etzion, D. and Ferraro, F. (2010). ‘The role of analogy in the institutionalization of sustainability reporting’. </w:t>
      </w:r>
      <w:r w:rsidRPr="00AC58E7">
        <w:rPr>
          <w:rFonts w:ascii="Times New Roman" w:eastAsia="Calibri" w:hAnsi="Times New Roman"/>
          <w:i/>
          <w:sz w:val="24"/>
        </w:rPr>
        <w:t>Organization Science,</w:t>
      </w:r>
      <w:r w:rsidRPr="00AC58E7">
        <w:rPr>
          <w:rFonts w:ascii="Times New Roman" w:eastAsia="Calibri" w:hAnsi="Times New Roman"/>
          <w:sz w:val="24"/>
        </w:rPr>
        <w:t xml:space="preserve"> </w:t>
      </w:r>
      <w:r w:rsidRPr="00AC58E7">
        <w:rPr>
          <w:rFonts w:ascii="Times New Roman" w:eastAsia="Calibri" w:hAnsi="Times New Roman"/>
          <w:b/>
          <w:sz w:val="24"/>
        </w:rPr>
        <w:t>21,</w:t>
      </w:r>
      <w:r>
        <w:rPr>
          <w:rFonts w:ascii="Times New Roman" w:eastAsia="Calibri" w:hAnsi="Times New Roman"/>
          <w:sz w:val="24"/>
        </w:rPr>
        <w:t xml:space="preserve"> 1092</w:t>
      </w:r>
      <w:r w:rsidRPr="00AC58E7">
        <w:rPr>
          <w:rFonts w:ascii="Times New Roman" w:eastAsia="Calibri" w:hAnsi="Times New Roman"/>
          <w:sz w:val="24"/>
        </w:rPr>
        <w:t xml:space="preserve">–1107. </w:t>
      </w:r>
    </w:p>
    <w:p w:rsidR="00FF2A8D" w:rsidRPr="00AC58E7" w:rsidRDefault="00FF2A8D" w:rsidP="00FF2A8D">
      <w:pPr>
        <w:shd w:val="clear" w:color="auto" w:fill="FFFFFF"/>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w:color w:val="auto"/>
          <w:sz w:val="24"/>
          <w:szCs w:val="18"/>
        </w:rPr>
        <w:t xml:space="preserve">Fairclough, N. (2003). </w:t>
      </w:r>
      <w:r w:rsidRPr="00AC58E7">
        <w:rPr>
          <w:rFonts w:ascii="Times New Roman" w:hAnsi="Times New Roman" w:cs="Times"/>
          <w:i/>
          <w:iCs/>
          <w:color w:val="auto"/>
          <w:sz w:val="24"/>
          <w:szCs w:val="18"/>
        </w:rPr>
        <w:t>Analyzing Discourse – Textual Analysis for Social Research</w:t>
      </w:r>
      <w:r w:rsidRPr="00AC58E7">
        <w:rPr>
          <w:rFonts w:ascii="Times New Roman" w:hAnsi="Times New Roman" w:cs="Times"/>
          <w:color w:val="auto"/>
          <w:sz w:val="24"/>
          <w:szCs w:val="18"/>
        </w:rPr>
        <w:t>. London, UK: Longman.</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Fiss, P. C. and Zajac, E. J. (2006). </w:t>
      </w:r>
      <w:r>
        <w:rPr>
          <w:rFonts w:ascii="Times New Roman" w:eastAsia="Calibri" w:hAnsi="Times New Roman"/>
          <w:sz w:val="24"/>
        </w:rPr>
        <w:t>‘</w:t>
      </w:r>
      <w:r w:rsidRPr="00AC58E7">
        <w:rPr>
          <w:rFonts w:ascii="Times New Roman" w:eastAsia="Calibri" w:hAnsi="Times New Roman"/>
          <w:sz w:val="24"/>
        </w:rPr>
        <w:t>The symbolic management of strategic change: Sensegiving via framing and decoupling</w:t>
      </w:r>
      <w:r>
        <w:rPr>
          <w:rFonts w:ascii="Times New Roman" w:eastAsia="Calibri" w:hAnsi="Times New Roman"/>
          <w:sz w:val="24"/>
        </w:rPr>
        <w:t>’</w:t>
      </w:r>
      <w:r w:rsidRPr="00AC58E7">
        <w:rPr>
          <w:rFonts w:ascii="Times New Roman" w:eastAsia="Calibri" w:hAnsi="Times New Roman"/>
          <w:sz w:val="24"/>
        </w:rPr>
        <w:t xml:space="preserve">. </w:t>
      </w:r>
      <w:r w:rsidRPr="00AC58E7">
        <w:rPr>
          <w:rFonts w:ascii="Times New Roman" w:eastAsia="Calibri" w:hAnsi="Times New Roman"/>
          <w:i/>
          <w:sz w:val="24"/>
        </w:rPr>
        <w:t>Academy of Management Journal,</w:t>
      </w:r>
      <w:r w:rsidRPr="00AC58E7">
        <w:rPr>
          <w:rFonts w:ascii="Times New Roman" w:eastAsia="Calibri" w:hAnsi="Times New Roman"/>
          <w:sz w:val="24"/>
        </w:rPr>
        <w:t xml:space="preserve"> </w:t>
      </w:r>
      <w:r w:rsidRPr="00AC58E7">
        <w:rPr>
          <w:rFonts w:ascii="Times New Roman" w:eastAsia="Calibri" w:hAnsi="Times New Roman"/>
          <w:b/>
          <w:sz w:val="24"/>
        </w:rPr>
        <w:t>49,</w:t>
      </w:r>
      <w:r>
        <w:rPr>
          <w:rFonts w:ascii="Times New Roman" w:eastAsia="Calibri" w:hAnsi="Times New Roman"/>
          <w:sz w:val="24"/>
        </w:rPr>
        <w:t xml:space="preserve"> 1173</w:t>
      </w:r>
      <w:r w:rsidRPr="00AC58E7">
        <w:rPr>
          <w:rFonts w:ascii="Times New Roman" w:eastAsia="Calibri" w:hAnsi="Times New Roman"/>
          <w:sz w:val="24"/>
        </w:rPr>
        <w:t>–1193.</w:t>
      </w:r>
    </w:p>
    <w:p w:rsidR="00FF2A8D" w:rsidRPr="00AC58E7" w:rsidRDefault="00FF2A8D" w:rsidP="00FF2A8D">
      <w:pPr>
        <w:autoSpaceDE w:val="0"/>
        <w:autoSpaceDN w:val="0"/>
        <w:adjustRightInd w:val="0"/>
        <w:spacing w:line="480" w:lineRule="auto"/>
        <w:ind w:left="397" w:hanging="397"/>
        <w:rPr>
          <w:rFonts w:ascii="Times New Roman" w:hAnsi="Times New Roman" w:cs="Times"/>
          <w:color w:val="auto"/>
          <w:sz w:val="24"/>
          <w:szCs w:val="18"/>
        </w:rPr>
      </w:pPr>
      <w:r w:rsidRPr="00AC58E7">
        <w:rPr>
          <w:rFonts w:ascii="Times New Roman" w:hAnsi="Times New Roman" w:cs="Times"/>
          <w:color w:val="auto"/>
          <w:sz w:val="24"/>
          <w:szCs w:val="18"/>
        </w:rPr>
        <w:t xml:space="preserve">Freeman, R. (1984). </w:t>
      </w:r>
      <w:r w:rsidRPr="00AC58E7">
        <w:rPr>
          <w:rFonts w:ascii="Times New Roman" w:hAnsi="Times New Roman" w:cs="Times"/>
          <w:i/>
          <w:color w:val="auto"/>
          <w:sz w:val="24"/>
          <w:szCs w:val="18"/>
        </w:rPr>
        <w:t>Strategic Management: A Stakeholder Approach</w:t>
      </w:r>
      <w:r w:rsidRPr="00AC58E7">
        <w:rPr>
          <w:rFonts w:ascii="Times New Roman" w:hAnsi="Times New Roman" w:cs="Times"/>
          <w:color w:val="auto"/>
          <w:sz w:val="24"/>
          <w:szCs w:val="18"/>
        </w:rPr>
        <w:t>. Cambridge, MA: Cambridge University Press.</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Friedland, R. and Alford, R. R. (1991). ‘Bringing society back in: Symbols, practices, and institutional contradictions’. In Powell, W. W. and DiMaggio, P. J. (Eds.), </w:t>
      </w:r>
      <w:r w:rsidRPr="00AC58E7">
        <w:rPr>
          <w:rFonts w:ascii="Times New Roman" w:eastAsia="Calibri" w:hAnsi="Times New Roman"/>
          <w:i/>
          <w:iCs/>
          <w:sz w:val="24"/>
        </w:rPr>
        <w:t>The New</w:t>
      </w:r>
      <w:r w:rsidRPr="00AC58E7">
        <w:rPr>
          <w:rFonts w:ascii="Times New Roman" w:eastAsia="Calibri" w:hAnsi="Times New Roman"/>
          <w:sz w:val="24"/>
        </w:rPr>
        <w:t xml:space="preserve"> </w:t>
      </w:r>
      <w:r w:rsidRPr="00AC58E7">
        <w:rPr>
          <w:rFonts w:ascii="Times New Roman" w:eastAsia="Calibri" w:hAnsi="Times New Roman"/>
          <w:i/>
          <w:iCs/>
          <w:sz w:val="24"/>
        </w:rPr>
        <w:t>Institutionalism in Organizational Analysis</w:t>
      </w:r>
      <w:r w:rsidRPr="00AC58E7">
        <w:rPr>
          <w:rFonts w:ascii="Times New Roman" w:eastAsia="Calibri" w:hAnsi="Times New Roman"/>
          <w:iCs/>
          <w:sz w:val="24"/>
        </w:rPr>
        <w:t xml:space="preserve">. </w:t>
      </w:r>
      <w:r w:rsidRPr="00AC58E7">
        <w:rPr>
          <w:rFonts w:ascii="Times New Roman" w:eastAsia="Calibri" w:hAnsi="Times New Roman"/>
          <w:sz w:val="24"/>
        </w:rPr>
        <w:t>Chicago, IL: The University of Chicago Press, 232–263.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Gao, J. and Bansal, P. (2013). ‘Instrumental and integrative logics in business sustainability’. </w:t>
      </w:r>
      <w:r w:rsidRPr="00AC58E7">
        <w:rPr>
          <w:rFonts w:ascii="Times New Roman" w:eastAsia="Calibri" w:hAnsi="Times New Roman"/>
          <w:i/>
          <w:iCs/>
          <w:sz w:val="24"/>
        </w:rPr>
        <w:t>Journal of Business Ethics</w:t>
      </w:r>
      <w:r w:rsidRPr="00AC58E7">
        <w:rPr>
          <w:rFonts w:ascii="Times New Roman" w:eastAsia="Calibri" w:hAnsi="Times New Roman"/>
          <w:sz w:val="24"/>
        </w:rPr>
        <w:t xml:space="preserve">, </w:t>
      </w:r>
      <w:r w:rsidRPr="00AC58E7">
        <w:rPr>
          <w:rFonts w:ascii="Times New Roman" w:eastAsia="Calibri" w:hAnsi="Times New Roman"/>
          <w:b/>
          <w:iCs/>
          <w:sz w:val="24"/>
        </w:rPr>
        <w:t>112</w:t>
      </w:r>
      <w:r w:rsidRPr="00AC58E7">
        <w:rPr>
          <w:rFonts w:ascii="Times New Roman" w:eastAsia="Calibri" w:hAnsi="Times New Roman"/>
          <w:sz w:val="24"/>
        </w:rPr>
        <w:t>, 241–255.</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Gattiker, T. F., Carter, C. R., Huang, X. and Tate, W. L. (2014). ‘Managerial commitment to sustainable supply chain management projects’. </w:t>
      </w:r>
      <w:r w:rsidRPr="00AC58E7">
        <w:rPr>
          <w:rFonts w:ascii="Times New Roman" w:hAnsi="Times New Roman" w:cs="Times New Roman"/>
          <w:i/>
          <w:iCs/>
          <w:color w:val="auto"/>
          <w:sz w:val="24"/>
          <w:szCs w:val="24"/>
        </w:rPr>
        <w:t>Journal of Business Logistics</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35</w:t>
      </w:r>
      <w:r w:rsidRPr="00AC58E7">
        <w:rPr>
          <w:rFonts w:ascii="Times New Roman" w:hAnsi="Times New Roman" w:cs="Times New Roman"/>
          <w:b/>
          <w:color w:val="auto"/>
          <w:sz w:val="24"/>
          <w:szCs w:val="24"/>
        </w:rPr>
        <w:t>,</w:t>
      </w:r>
      <w:r>
        <w:rPr>
          <w:rFonts w:ascii="Times New Roman" w:hAnsi="Times New Roman" w:cs="Times New Roman"/>
          <w:color w:val="auto"/>
          <w:sz w:val="24"/>
          <w:szCs w:val="24"/>
        </w:rPr>
        <w:t xml:space="preserve"> 318</w:t>
      </w:r>
      <w:r w:rsidRPr="00AC58E7">
        <w:rPr>
          <w:rFonts w:ascii="Times New Roman" w:eastAsia="Calibri" w:hAnsi="Times New Roman"/>
          <w:sz w:val="24"/>
        </w:rPr>
        <w:t>–</w:t>
      </w:r>
      <w:r w:rsidRPr="00AC58E7">
        <w:rPr>
          <w:rFonts w:ascii="Times New Roman" w:hAnsi="Times New Roman" w:cs="Times New Roman"/>
          <w:color w:val="auto"/>
          <w:sz w:val="24"/>
          <w:szCs w:val="24"/>
        </w:rPr>
        <w:t>337.</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Goffman, E. (1981). </w:t>
      </w:r>
      <w:r w:rsidRPr="00AC58E7">
        <w:rPr>
          <w:rFonts w:ascii="Times New Roman" w:hAnsi="Times New Roman" w:cs="Times New Roman"/>
          <w:i/>
          <w:color w:val="auto"/>
          <w:sz w:val="24"/>
          <w:szCs w:val="24"/>
        </w:rPr>
        <w:t>Forms of Talk</w:t>
      </w:r>
      <w:r w:rsidRPr="00AC58E7">
        <w:rPr>
          <w:rFonts w:ascii="Times New Roman" w:hAnsi="Times New Roman" w:cs="Times New Roman"/>
          <w:color w:val="auto"/>
          <w:sz w:val="24"/>
          <w:szCs w:val="24"/>
        </w:rPr>
        <w:t>. Philadelphia, PA: University of Pennsylvania Press.</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Grayson, D., McLaren, M. and Spitzeck, H. (2014). </w:t>
      </w:r>
      <w:r w:rsidRPr="00AC58E7">
        <w:rPr>
          <w:rFonts w:ascii="Times New Roman" w:eastAsia="Calibri" w:hAnsi="Times New Roman"/>
          <w:i/>
          <w:iCs/>
          <w:sz w:val="24"/>
        </w:rPr>
        <w:t>Social Intrapreneurism and All That Jazz: How Business Innovators Are Helping to Build a More Sustainable World</w:t>
      </w:r>
      <w:r w:rsidRPr="00AC58E7">
        <w:rPr>
          <w:rFonts w:ascii="Times New Roman" w:eastAsia="Calibri" w:hAnsi="Times New Roman"/>
          <w:sz w:val="24"/>
        </w:rPr>
        <w:t>.</w:t>
      </w:r>
      <w:r w:rsidRPr="00AC58E7">
        <w:rPr>
          <w:rFonts w:ascii="Times New Roman" w:eastAsia="Calibri" w:hAnsi="Times New Roman"/>
          <w:b/>
          <w:sz w:val="24"/>
        </w:rPr>
        <w:t xml:space="preserve"> </w:t>
      </w:r>
      <w:r w:rsidRPr="00AC58E7">
        <w:rPr>
          <w:rFonts w:ascii="Times New Roman" w:eastAsia="Calibri" w:hAnsi="Times New Roman"/>
          <w:sz w:val="24"/>
        </w:rPr>
        <w:t>Sheffield, UK: Greenleaf Publishing.</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Green Jr, S. E. and Li, Y. (2011). ‘Rhetorical institutionalism: Language, agency, and structure in institutional theory since Alvesson 1993’. </w:t>
      </w:r>
      <w:r w:rsidRPr="00AC58E7">
        <w:rPr>
          <w:rFonts w:ascii="Times New Roman" w:eastAsia="Calibri" w:hAnsi="Times New Roman"/>
          <w:i/>
          <w:sz w:val="24"/>
        </w:rPr>
        <w:t>Journal of Management Studies</w:t>
      </w:r>
      <w:r w:rsidRPr="00AC58E7">
        <w:rPr>
          <w:rFonts w:ascii="Times New Roman" w:eastAsia="Calibri" w:hAnsi="Times New Roman"/>
          <w:sz w:val="24"/>
        </w:rPr>
        <w:t xml:space="preserve">, </w:t>
      </w:r>
      <w:r w:rsidRPr="00AC58E7">
        <w:rPr>
          <w:rFonts w:ascii="Times New Roman" w:eastAsia="Calibri" w:hAnsi="Times New Roman"/>
          <w:b/>
          <w:sz w:val="24"/>
        </w:rPr>
        <w:t>48</w:t>
      </w:r>
      <w:r w:rsidRPr="00AC58E7">
        <w:rPr>
          <w:rFonts w:ascii="Times New Roman" w:eastAsia="Calibri" w:hAnsi="Times New Roman"/>
          <w:sz w:val="24"/>
        </w:rPr>
        <w:t>, 1662</w:t>
      </w:r>
      <w:r w:rsidRPr="00AC58E7">
        <w:rPr>
          <w:rFonts w:ascii="Times New Roman" w:eastAsia="Calibri" w:hAnsi="Times New Roman"/>
          <w:kern w:val="1"/>
          <w:sz w:val="24"/>
        </w:rPr>
        <w:t>–</w:t>
      </w:r>
      <w:r w:rsidRPr="00AC58E7">
        <w:rPr>
          <w:rFonts w:ascii="Times New Roman" w:eastAsia="Calibri" w:hAnsi="Times New Roman"/>
          <w:sz w:val="24"/>
        </w:rPr>
        <w:t>1697.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Greenwood, R., Raynard, M., Kodeih, F., Micelotta, E. and Lounsbury, M. (2011). ‘Institutional complexity and organizational responses’. </w:t>
      </w:r>
      <w:r w:rsidRPr="00AC58E7">
        <w:rPr>
          <w:rFonts w:ascii="Times New Roman" w:eastAsia="Calibri" w:hAnsi="Times New Roman"/>
          <w:i/>
          <w:kern w:val="1"/>
          <w:sz w:val="24"/>
        </w:rPr>
        <w:t xml:space="preserve">The </w:t>
      </w:r>
      <w:r w:rsidRPr="00AC58E7">
        <w:rPr>
          <w:rFonts w:ascii="Times New Roman" w:eastAsia="Calibri" w:hAnsi="Times New Roman"/>
          <w:bCs/>
          <w:i/>
          <w:iCs/>
          <w:kern w:val="1"/>
          <w:sz w:val="24"/>
        </w:rPr>
        <w:t>Academy of Management Annals</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5</w:t>
      </w:r>
      <w:r w:rsidRPr="00AC58E7">
        <w:rPr>
          <w:rFonts w:ascii="Times New Roman" w:eastAsia="Calibri" w:hAnsi="Times New Roman"/>
          <w:kern w:val="1"/>
          <w:sz w:val="24"/>
        </w:rPr>
        <w:t>, 317–371.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Hahn, T. and Aragón-Correa, J. A. (2015). ‘Toward cognitive plurality on corporate sustainability in organizations: The role of organizational factors’. </w:t>
      </w:r>
      <w:r w:rsidRPr="00AC58E7">
        <w:rPr>
          <w:rFonts w:ascii="Times New Roman" w:eastAsia="Calibri" w:hAnsi="Times New Roman"/>
          <w:i/>
          <w:sz w:val="24"/>
        </w:rPr>
        <w:t>Organization &amp; Environment</w:t>
      </w:r>
      <w:r w:rsidRPr="00AC58E7">
        <w:rPr>
          <w:rFonts w:ascii="Times New Roman" w:eastAsia="Calibri" w:hAnsi="Times New Roman"/>
          <w:sz w:val="24"/>
        </w:rPr>
        <w:t xml:space="preserve">, </w:t>
      </w:r>
      <w:r w:rsidRPr="00AC58E7">
        <w:rPr>
          <w:rFonts w:ascii="Times New Roman" w:eastAsia="Calibri" w:hAnsi="Times New Roman"/>
          <w:b/>
          <w:sz w:val="24"/>
        </w:rPr>
        <w:t>28</w:t>
      </w:r>
      <w:r w:rsidRPr="00AC58E7">
        <w:rPr>
          <w:rFonts w:ascii="Times New Roman" w:eastAsia="Calibri" w:hAnsi="Times New Roman"/>
          <w:sz w:val="24"/>
        </w:rPr>
        <w:t>, 255</w:t>
      </w:r>
      <w:r w:rsidRPr="00AC58E7">
        <w:rPr>
          <w:rFonts w:ascii="Times New Roman" w:eastAsia="Calibri" w:hAnsi="Times New Roman"/>
          <w:kern w:val="1"/>
          <w:sz w:val="24"/>
        </w:rPr>
        <w:t>–263.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Hahn, T., Figge, F., Pinkse, J. and Preuss, L. (2010). ‘Trade-offs in corporate sustainability: You can't have your cake and eat it’. </w:t>
      </w:r>
      <w:r w:rsidRPr="00AC58E7">
        <w:rPr>
          <w:rFonts w:ascii="Times New Roman" w:eastAsia="Calibri" w:hAnsi="Times New Roman"/>
          <w:i/>
          <w:iCs/>
          <w:sz w:val="24"/>
        </w:rPr>
        <w:t>Business Strategy and the Environment</w:t>
      </w:r>
      <w:r w:rsidRPr="00AC58E7">
        <w:rPr>
          <w:rFonts w:ascii="Times New Roman" w:eastAsia="Calibri" w:hAnsi="Times New Roman"/>
          <w:sz w:val="24"/>
        </w:rPr>
        <w:t xml:space="preserve">, </w:t>
      </w:r>
      <w:r w:rsidRPr="00AC58E7">
        <w:rPr>
          <w:rFonts w:ascii="Times New Roman" w:eastAsia="Calibri" w:hAnsi="Times New Roman"/>
          <w:b/>
          <w:iCs/>
          <w:sz w:val="24"/>
        </w:rPr>
        <w:t>19</w:t>
      </w:r>
      <w:r w:rsidRPr="00AC58E7">
        <w:rPr>
          <w:rFonts w:ascii="Times New Roman" w:eastAsia="Calibri" w:hAnsi="Times New Roman"/>
          <w:sz w:val="24"/>
        </w:rPr>
        <w:t>, 217–229.</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Hahn, T., Preuss, L., Pinkse, J. and Figge, F. (2014). ‘Cognitive frames in corporate sustainability: Managerial sensemaking with paradoxical and business case frames’.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sz w:val="24"/>
        </w:rPr>
        <w:t>39</w:t>
      </w:r>
      <w:r w:rsidRPr="00AC58E7">
        <w:rPr>
          <w:rFonts w:ascii="Times New Roman" w:eastAsia="Calibri" w:hAnsi="Times New Roman"/>
          <w:sz w:val="24"/>
        </w:rPr>
        <w:t>, 463–487.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Haigh, N. and Hoffman, A. J. (2014). ‘The new heretics: Hybrid organizations and the challenges they present to corporate sustainability’. </w:t>
      </w:r>
      <w:r w:rsidRPr="00AC58E7">
        <w:rPr>
          <w:rFonts w:ascii="Times New Roman" w:eastAsia="Calibri" w:hAnsi="Times New Roman"/>
          <w:i/>
          <w:iCs/>
          <w:sz w:val="24"/>
        </w:rPr>
        <w:t>Organization and Environment</w:t>
      </w:r>
      <w:r w:rsidRPr="00AC58E7">
        <w:rPr>
          <w:rFonts w:ascii="Times New Roman" w:eastAsia="Calibri" w:hAnsi="Times New Roman"/>
          <w:sz w:val="24"/>
        </w:rPr>
        <w:t xml:space="preserve">, </w:t>
      </w:r>
      <w:r w:rsidRPr="00AC58E7">
        <w:rPr>
          <w:rFonts w:ascii="Times New Roman" w:eastAsia="Calibri" w:hAnsi="Times New Roman"/>
          <w:b/>
          <w:iCs/>
          <w:sz w:val="24"/>
        </w:rPr>
        <w:t>27</w:t>
      </w:r>
      <w:r w:rsidRPr="00AC58E7">
        <w:rPr>
          <w:rFonts w:ascii="Times New Roman" w:eastAsia="Calibri" w:hAnsi="Times New Roman"/>
          <w:sz w:val="24"/>
        </w:rPr>
        <w:t>, 223–241.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Halme, M., Lindeman, S. and Linna, P. (2012). ‘Innovation for inclusive business: Intrapreneurial bricolage in multinational corporations’. </w:t>
      </w:r>
      <w:r w:rsidRPr="00AC58E7">
        <w:rPr>
          <w:rFonts w:ascii="Times New Roman" w:eastAsia="Calibri" w:hAnsi="Times New Roman"/>
          <w:bCs/>
          <w:i/>
          <w:iCs/>
          <w:kern w:val="1"/>
          <w:sz w:val="24"/>
        </w:rPr>
        <w:t>Journal of Management Studies</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49</w:t>
      </w:r>
      <w:r w:rsidRPr="00AC58E7">
        <w:rPr>
          <w:rFonts w:ascii="Times New Roman" w:eastAsia="Calibri" w:hAnsi="Times New Roman"/>
          <w:kern w:val="1"/>
          <w:sz w:val="24"/>
        </w:rPr>
        <w:t>, 743–784.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Helms, W., Oliver, C. and Webb, K. (2012). ‘Antecedents of settlement on a new institutional practice: Negotiation of the ISO 26000 standard on social responsibility’. </w:t>
      </w:r>
      <w:r w:rsidRPr="00AC58E7">
        <w:rPr>
          <w:rFonts w:ascii="Times New Roman" w:eastAsia="Calibri" w:hAnsi="Times New Roman"/>
          <w:i/>
          <w:iCs/>
          <w:sz w:val="24"/>
        </w:rPr>
        <w:t>Academy of Management Journal</w:t>
      </w:r>
      <w:r w:rsidRPr="00AC58E7">
        <w:rPr>
          <w:rFonts w:ascii="Times New Roman" w:eastAsia="Calibri" w:hAnsi="Times New Roman"/>
          <w:sz w:val="24"/>
        </w:rPr>
        <w:t xml:space="preserve">, </w:t>
      </w:r>
      <w:r w:rsidRPr="00AC58E7">
        <w:rPr>
          <w:rFonts w:ascii="Times New Roman" w:eastAsia="Calibri" w:hAnsi="Times New Roman"/>
          <w:b/>
          <w:sz w:val="24"/>
        </w:rPr>
        <w:t>55</w:t>
      </w:r>
      <w:r w:rsidRPr="00AC58E7">
        <w:rPr>
          <w:rFonts w:ascii="Times New Roman" w:eastAsia="Calibri" w:hAnsi="Times New Roman"/>
          <w:sz w:val="24"/>
        </w:rPr>
        <w:t>, 1120–1145.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Hemingway, C. A. (2005). ‘Personal values as a catalyst for corporate social entrepreneurship’. </w:t>
      </w:r>
      <w:r w:rsidRPr="00AC58E7">
        <w:rPr>
          <w:rFonts w:ascii="Times New Roman" w:eastAsia="Calibri" w:hAnsi="Times New Roman"/>
          <w:bCs/>
          <w:i/>
          <w:iCs/>
          <w:kern w:val="1"/>
          <w:sz w:val="24"/>
        </w:rPr>
        <w:t>Journal of Business Ethics</w:t>
      </w:r>
      <w:r w:rsidRPr="00AC58E7">
        <w:rPr>
          <w:rFonts w:ascii="Times New Roman" w:eastAsia="Calibri" w:hAnsi="Times New Roman"/>
          <w:kern w:val="1"/>
          <w:sz w:val="24"/>
        </w:rPr>
        <w:t>,</w:t>
      </w:r>
      <w:r w:rsidRPr="00AC58E7">
        <w:rPr>
          <w:rFonts w:ascii="Times New Roman" w:eastAsia="Calibri" w:hAnsi="Times New Roman"/>
          <w:i/>
          <w:iCs/>
          <w:kern w:val="1"/>
          <w:sz w:val="24"/>
        </w:rPr>
        <w:t xml:space="preserve"> </w:t>
      </w:r>
      <w:r w:rsidRPr="00AC58E7">
        <w:rPr>
          <w:rFonts w:ascii="Times New Roman" w:eastAsia="Calibri" w:hAnsi="Times New Roman"/>
          <w:b/>
          <w:kern w:val="1"/>
          <w:sz w:val="24"/>
        </w:rPr>
        <w:t>60</w:t>
      </w:r>
      <w:r w:rsidRPr="00AC58E7">
        <w:rPr>
          <w:rFonts w:ascii="Times New Roman" w:eastAsia="Calibri" w:hAnsi="Times New Roman"/>
          <w:kern w:val="1"/>
          <w:sz w:val="24"/>
        </w:rPr>
        <w:t>, 233–249.</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Howard-Grenville, J. A. (2007). ‘Developing issue-selling effectiveness over time: Issue selling as resourcing’. </w:t>
      </w:r>
      <w:r w:rsidRPr="00AC58E7">
        <w:rPr>
          <w:rFonts w:ascii="Times New Roman" w:eastAsia="Calibri" w:hAnsi="Times New Roman"/>
          <w:bCs/>
          <w:i/>
          <w:iCs/>
          <w:kern w:val="1"/>
          <w:sz w:val="24"/>
        </w:rPr>
        <w:t>Organization Science</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18</w:t>
      </w:r>
      <w:r w:rsidRPr="00AC58E7">
        <w:rPr>
          <w:rFonts w:ascii="Times New Roman" w:eastAsia="Calibri" w:hAnsi="Times New Roman"/>
          <w:kern w:val="1"/>
          <w:sz w:val="24"/>
        </w:rPr>
        <w:t>, 560–577.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Howard-Grenville, J. A. and Hoffman, A. J. (2003). ‘The importance of cultural framing to the success of social initiatives in business’. </w:t>
      </w:r>
      <w:r w:rsidRPr="00AC58E7">
        <w:rPr>
          <w:rFonts w:ascii="Times New Roman" w:eastAsia="Calibri" w:hAnsi="Times New Roman"/>
          <w:i/>
          <w:iCs/>
          <w:sz w:val="24"/>
        </w:rPr>
        <w:t>The Academy of Management Executive</w:t>
      </w:r>
      <w:r w:rsidRPr="00AC58E7">
        <w:rPr>
          <w:rFonts w:ascii="Times New Roman" w:eastAsia="Calibri" w:hAnsi="Times New Roman"/>
          <w:sz w:val="24"/>
        </w:rPr>
        <w:t xml:space="preserve">, </w:t>
      </w:r>
      <w:r w:rsidRPr="00AC58E7">
        <w:rPr>
          <w:rFonts w:ascii="Times New Roman" w:eastAsia="Calibri" w:hAnsi="Times New Roman"/>
          <w:b/>
          <w:iCs/>
          <w:sz w:val="24"/>
        </w:rPr>
        <w:t>17</w:t>
      </w:r>
      <w:r w:rsidRPr="00AC58E7">
        <w:rPr>
          <w:rFonts w:ascii="Times New Roman" w:eastAsia="Calibri" w:hAnsi="Times New Roman"/>
          <w:sz w:val="24"/>
        </w:rPr>
        <w:t>, 70–84.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rPr>
        <w:t xml:space="preserve">Howell, J. M. and Boies, K. (2004). ‘Champions of technological innovation: The influence of contextual knowledge, role orientation, idea generation, and idea promotion on champion emergence’. </w:t>
      </w:r>
      <w:r w:rsidRPr="00AC58E7">
        <w:rPr>
          <w:rFonts w:ascii="Times New Roman" w:hAnsi="Times New Roman" w:cs="Times New Roman"/>
          <w:i/>
          <w:iCs/>
          <w:color w:val="auto"/>
          <w:sz w:val="24"/>
          <w:szCs w:val="24"/>
        </w:rPr>
        <w:t>The Leadership Quarterly</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15</w:t>
      </w:r>
      <w:r w:rsidRPr="00AC58E7">
        <w:rPr>
          <w:rFonts w:ascii="Times New Roman" w:hAnsi="Times New Roman" w:cs="Times New Roman"/>
          <w:b/>
          <w:color w:val="auto"/>
          <w:sz w:val="24"/>
          <w:szCs w:val="24"/>
        </w:rPr>
        <w:t>,</w:t>
      </w:r>
      <w:r w:rsidRPr="00AC58E7">
        <w:rPr>
          <w:rFonts w:ascii="Times New Roman" w:hAnsi="Times New Roman" w:cs="Times New Roman"/>
          <w:color w:val="auto"/>
          <w:sz w:val="24"/>
          <w:szCs w:val="24"/>
        </w:rPr>
        <w:t xml:space="preserve"> 123</w:t>
      </w:r>
      <w:r w:rsidRPr="00AC58E7">
        <w:rPr>
          <w:rFonts w:ascii="Times New Roman" w:hAnsi="Times New Roman"/>
          <w:color w:val="auto"/>
          <w:sz w:val="24"/>
          <w:szCs w:val="19"/>
        </w:rPr>
        <w:t>–</w:t>
      </w:r>
      <w:r w:rsidRPr="00AC58E7">
        <w:rPr>
          <w:rFonts w:ascii="Times New Roman" w:hAnsi="Times New Roman" w:cs="Times New Roman"/>
          <w:color w:val="auto"/>
          <w:sz w:val="24"/>
          <w:szCs w:val="24"/>
        </w:rPr>
        <w:t>143.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olor w:val="auto"/>
          <w:sz w:val="24"/>
          <w:szCs w:val="19"/>
        </w:rPr>
        <w:t>Howell, J. M. and Higgins, C. A. (1990). ‘Champions of technological innovation’.</w:t>
      </w:r>
      <w:r>
        <w:rPr>
          <w:rFonts w:ascii="Times New Roman" w:hAnsi="Times New Roman"/>
          <w:color w:val="auto"/>
          <w:sz w:val="24"/>
          <w:szCs w:val="19"/>
        </w:rPr>
        <w:t xml:space="preserve"> </w:t>
      </w:r>
      <w:r w:rsidRPr="00AC58E7">
        <w:rPr>
          <w:rFonts w:ascii="Times New Roman" w:hAnsi="Times New Roman"/>
          <w:i/>
          <w:iCs/>
          <w:color w:val="auto"/>
          <w:sz w:val="24"/>
          <w:szCs w:val="19"/>
        </w:rPr>
        <w:t>Administrative Science Quarterly</w:t>
      </w:r>
      <w:r w:rsidRPr="00AC58E7">
        <w:rPr>
          <w:rFonts w:ascii="Times New Roman" w:hAnsi="Times New Roman"/>
          <w:color w:val="auto"/>
          <w:sz w:val="24"/>
          <w:szCs w:val="19"/>
        </w:rPr>
        <w:t xml:space="preserve">, </w:t>
      </w:r>
      <w:r w:rsidRPr="00AC58E7">
        <w:rPr>
          <w:rFonts w:ascii="Times New Roman" w:hAnsi="Times New Roman"/>
          <w:b/>
          <w:color w:val="auto"/>
          <w:sz w:val="24"/>
          <w:szCs w:val="19"/>
        </w:rPr>
        <w:t>35</w:t>
      </w:r>
      <w:r w:rsidRPr="00AC58E7">
        <w:rPr>
          <w:rFonts w:ascii="Times New Roman" w:hAnsi="Times New Roman"/>
          <w:color w:val="auto"/>
          <w:sz w:val="24"/>
          <w:szCs w:val="19"/>
        </w:rPr>
        <w:t>, 317–341.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lang w:val="en-GB"/>
        </w:rPr>
        <w:t>Jones, C. and Livne-Tarandach, R. (</w:t>
      </w:r>
      <w:r w:rsidRPr="00AC58E7">
        <w:rPr>
          <w:rFonts w:ascii="Times New Roman" w:hAnsi="Times New Roman" w:cs="Times New Roman"/>
          <w:color w:val="auto"/>
          <w:sz w:val="24"/>
          <w:szCs w:val="24"/>
        </w:rPr>
        <w:t xml:space="preserve">2008). ‘Designing a frame: Rhetorical strategies of architects’. </w:t>
      </w:r>
      <w:r w:rsidRPr="00AC58E7">
        <w:rPr>
          <w:rFonts w:ascii="Times New Roman" w:hAnsi="Times New Roman" w:cs="Times New Roman"/>
          <w:i/>
          <w:color w:val="auto"/>
          <w:sz w:val="24"/>
          <w:szCs w:val="24"/>
        </w:rPr>
        <w:t>Journal of Organizational Behaviour,</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29,</w:t>
      </w:r>
      <w:r w:rsidRPr="00AC58E7">
        <w:rPr>
          <w:rFonts w:ascii="Times New Roman" w:hAnsi="Times New Roman" w:cs="Times New Roman"/>
          <w:color w:val="auto"/>
          <w:sz w:val="24"/>
          <w:szCs w:val="24"/>
        </w:rPr>
        <w:t xml:space="preserve"> 1075–1099.</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Kaplan, S. (2008). ‘Framing contests: Strategy making under uncertainty’. </w:t>
      </w:r>
      <w:r w:rsidRPr="00AC58E7">
        <w:rPr>
          <w:rFonts w:ascii="Times New Roman" w:eastAsia="Calibri" w:hAnsi="Times New Roman"/>
          <w:i/>
          <w:iCs/>
          <w:sz w:val="24"/>
        </w:rPr>
        <w:t>Organization Science</w:t>
      </w:r>
      <w:r w:rsidRPr="00AC58E7">
        <w:rPr>
          <w:rFonts w:ascii="Times New Roman" w:eastAsia="Calibri" w:hAnsi="Times New Roman"/>
          <w:sz w:val="24"/>
        </w:rPr>
        <w:t xml:space="preserve">, </w:t>
      </w:r>
      <w:r w:rsidRPr="00AC58E7">
        <w:rPr>
          <w:rFonts w:ascii="Times New Roman" w:eastAsia="Calibri" w:hAnsi="Times New Roman"/>
          <w:b/>
          <w:iCs/>
          <w:sz w:val="24"/>
        </w:rPr>
        <w:t>19</w:t>
      </w:r>
      <w:r w:rsidRPr="00AC58E7">
        <w:rPr>
          <w:rFonts w:ascii="Times New Roman" w:eastAsia="Calibri" w:hAnsi="Times New Roman"/>
          <w:sz w:val="24"/>
        </w:rPr>
        <w:t>, 729–752.</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Kellogg, K. C. (2009). ‘Operating room: Relational spaces an</w:t>
      </w:r>
      <w:r>
        <w:rPr>
          <w:rFonts w:ascii="Times New Roman" w:eastAsia="Calibri" w:hAnsi="Times New Roman"/>
          <w:sz w:val="24"/>
        </w:rPr>
        <w:t>d microinstitutional change in s</w:t>
      </w:r>
      <w:r w:rsidRPr="00AC58E7">
        <w:rPr>
          <w:rFonts w:ascii="Times New Roman" w:eastAsia="Calibri" w:hAnsi="Times New Roman"/>
          <w:sz w:val="24"/>
        </w:rPr>
        <w:t xml:space="preserve">urgery’. </w:t>
      </w:r>
      <w:r w:rsidRPr="00AC58E7">
        <w:rPr>
          <w:rFonts w:ascii="Times New Roman" w:eastAsia="Calibri" w:hAnsi="Times New Roman"/>
          <w:i/>
          <w:sz w:val="24"/>
        </w:rPr>
        <w:t>American Journal of Sociology,</w:t>
      </w:r>
      <w:r w:rsidRPr="00AC58E7">
        <w:rPr>
          <w:rFonts w:ascii="Times New Roman" w:eastAsia="Calibri" w:hAnsi="Times New Roman"/>
          <w:b/>
          <w:sz w:val="24"/>
        </w:rPr>
        <w:t xml:space="preserve"> 115,</w:t>
      </w:r>
      <w:r w:rsidRPr="00AC58E7">
        <w:rPr>
          <w:rFonts w:ascii="Times New Roman" w:eastAsia="Calibri" w:hAnsi="Times New Roman"/>
          <w:sz w:val="24"/>
        </w:rPr>
        <w:t xml:space="preserve"> 657</w:t>
      </w:r>
      <w:r w:rsidRPr="00AC58E7">
        <w:rPr>
          <w:rFonts w:ascii="Times New Roman" w:eastAsia="Calibri" w:hAnsi="Times New Roman"/>
          <w:kern w:val="1"/>
          <w:sz w:val="24"/>
        </w:rPr>
        <w:t>–</w:t>
      </w:r>
      <w:r w:rsidRPr="00AC58E7">
        <w:rPr>
          <w:rFonts w:ascii="Times New Roman" w:eastAsia="Calibri" w:hAnsi="Times New Roman"/>
          <w:sz w:val="24"/>
        </w:rPr>
        <w:t>711.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Kellogg, K. C. (2012). ‘Making the cut: Using status-based countertactics to block social movement implementation and microinstitutional change in surgery. </w:t>
      </w:r>
      <w:r w:rsidRPr="00AC58E7">
        <w:rPr>
          <w:rFonts w:ascii="Times New Roman" w:eastAsia="Calibri" w:hAnsi="Times New Roman"/>
          <w:i/>
          <w:sz w:val="24"/>
        </w:rPr>
        <w:t>Organization Science</w:t>
      </w:r>
      <w:r w:rsidRPr="00AC58E7">
        <w:rPr>
          <w:rFonts w:ascii="Times New Roman" w:eastAsia="Calibri" w:hAnsi="Times New Roman"/>
          <w:sz w:val="24"/>
        </w:rPr>
        <w:t xml:space="preserve">, </w:t>
      </w:r>
      <w:r w:rsidRPr="00AC58E7">
        <w:rPr>
          <w:rFonts w:ascii="Times New Roman" w:eastAsia="Calibri" w:hAnsi="Times New Roman"/>
          <w:b/>
          <w:sz w:val="24"/>
        </w:rPr>
        <w:t>23</w:t>
      </w:r>
      <w:r w:rsidRPr="00AC58E7">
        <w:rPr>
          <w:rFonts w:ascii="Times New Roman" w:eastAsia="Calibri" w:hAnsi="Times New Roman"/>
          <w:sz w:val="24"/>
        </w:rPr>
        <w:t>: 1546</w:t>
      </w:r>
      <w:r w:rsidRPr="00AC58E7">
        <w:rPr>
          <w:rFonts w:ascii="Times New Roman" w:eastAsia="Calibri" w:hAnsi="Times New Roman"/>
          <w:kern w:val="1"/>
          <w:sz w:val="24"/>
        </w:rPr>
        <w:t>–</w:t>
      </w:r>
      <w:r w:rsidRPr="00AC58E7">
        <w:rPr>
          <w:rFonts w:ascii="Times New Roman" w:eastAsia="Calibri" w:hAnsi="Times New Roman"/>
          <w:sz w:val="24"/>
        </w:rPr>
        <w:t>1570.</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Kistruck, G. M. and Beamish, P. (2010). ‘The interplay of form, structure, and embeddedness in social intrapreneurship’. </w:t>
      </w:r>
      <w:r w:rsidRPr="00AC58E7">
        <w:rPr>
          <w:rFonts w:ascii="Times New Roman" w:eastAsia="Calibri" w:hAnsi="Times New Roman"/>
          <w:bCs/>
          <w:i/>
          <w:iCs/>
          <w:kern w:val="1"/>
          <w:sz w:val="24"/>
        </w:rPr>
        <w:t>Entrepreneurship Theory and Practice</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34</w:t>
      </w:r>
      <w:r w:rsidRPr="00AC58E7">
        <w:rPr>
          <w:rFonts w:ascii="Times New Roman" w:eastAsia="Calibri" w:hAnsi="Times New Roman"/>
          <w:kern w:val="1"/>
          <w:sz w:val="24"/>
        </w:rPr>
        <w:t>, 735–761.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Kreps, T. A. and Monin, B. (2013). ‘“Doing well by doing good”? Ambivalent moral framing in organizations’. </w:t>
      </w:r>
      <w:r w:rsidRPr="00AC58E7">
        <w:rPr>
          <w:rFonts w:ascii="Times New Roman" w:eastAsia="Calibri" w:hAnsi="Times New Roman"/>
          <w:i/>
          <w:iCs/>
          <w:sz w:val="24"/>
        </w:rPr>
        <w:t>Research in Organizational Behavior</w:t>
      </w:r>
      <w:r w:rsidRPr="00AC58E7">
        <w:rPr>
          <w:rFonts w:ascii="Times New Roman" w:eastAsia="Calibri" w:hAnsi="Times New Roman"/>
          <w:sz w:val="24"/>
        </w:rPr>
        <w:t xml:space="preserve">, </w:t>
      </w:r>
      <w:r w:rsidRPr="00AC58E7">
        <w:rPr>
          <w:rFonts w:ascii="Times New Roman" w:eastAsia="Calibri" w:hAnsi="Times New Roman"/>
          <w:b/>
          <w:iCs/>
          <w:sz w:val="24"/>
        </w:rPr>
        <w:t>31</w:t>
      </w:r>
      <w:r w:rsidRPr="00AC58E7">
        <w:rPr>
          <w:rFonts w:ascii="Times New Roman" w:eastAsia="Calibri" w:hAnsi="Times New Roman"/>
          <w:sz w:val="24"/>
        </w:rPr>
        <w:t>, 99</w:t>
      </w:r>
      <w:r w:rsidRPr="00AC58E7">
        <w:rPr>
          <w:rFonts w:ascii="Times New Roman" w:eastAsia="Calibri" w:hAnsi="Times New Roman"/>
          <w:sz w:val="24"/>
        </w:rPr>
        <w:softHyphen/>
        <w:t>–123.</w:t>
      </w:r>
    </w:p>
    <w:p w:rsidR="00FF2A8D" w:rsidRPr="00AC58E7" w:rsidRDefault="00FF2A8D" w:rsidP="00FF2A8D">
      <w:pPr>
        <w:autoSpaceDE w:val="0"/>
        <w:autoSpaceDN w:val="0"/>
        <w:adjustRightInd w:val="0"/>
        <w:spacing w:line="480" w:lineRule="auto"/>
        <w:ind w:left="397" w:hanging="397"/>
        <w:rPr>
          <w:rFonts w:ascii="Times New Roman" w:hAnsi="Times New Roman"/>
          <w:color w:val="auto"/>
          <w:sz w:val="24"/>
          <w:szCs w:val="19"/>
        </w:rPr>
      </w:pPr>
      <w:r w:rsidRPr="00AC58E7">
        <w:rPr>
          <w:rFonts w:ascii="Times New Roman" w:hAnsi="Times New Roman"/>
          <w:color w:val="auto"/>
          <w:sz w:val="24"/>
          <w:szCs w:val="19"/>
        </w:rPr>
        <w:t>Kwon, W., Clarke, I. and Wodak, R. (2014). ‘Micro</w:t>
      </w:r>
      <w:r w:rsidRPr="00AC58E7">
        <w:rPr>
          <w:rFonts w:ascii="Menlo Regular" w:hAnsi="Menlo Regular" w:cs="Menlo Regular"/>
          <w:color w:val="auto"/>
          <w:sz w:val="24"/>
          <w:szCs w:val="19"/>
        </w:rPr>
        <w:t>‐</w:t>
      </w:r>
      <w:r w:rsidRPr="00AC58E7">
        <w:rPr>
          <w:rFonts w:ascii="Times New Roman" w:hAnsi="Times New Roman"/>
          <w:color w:val="auto"/>
          <w:sz w:val="24"/>
          <w:szCs w:val="19"/>
        </w:rPr>
        <w:t xml:space="preserve">level discursive strategies for constructing shared views around strategic issues in team meetings’. </w:t>
      </w:r>
      <w:r w:rsidRPr="00AC58E7">
        <w:rPr>
          <w:rFonts w:ascii="Times New Roman" w:hAnsi="Times New Roman"/>
          <w:i/>
          <w:iCs/>
          <w:color w:val="auto"/>
          <w:sz w:val="24"/>
          <w:szCs w:val="19"/>
        </w:rPr>
        <w:t>Journal of Management Studies</w:t>
      </w:r>
      <w:r w:rsidRPr="00AC58E7">
        <w:rPr>
          <w:rFonts w:ascii="Times New Roman" w:hAnsi="Times New Roman" w:cs="Times New Roman"/>
          <w:color w:val="auto"/>
          <w:sz w:val="24"/>
          <w:szCs w:val="19"/>
        </w:rPr>
        <w:t xml:space="preserve">, </w:t>
      </w:r>
      <w:r w:rsidRPr="00AC58E7">
        <w:rPr>
          <w:rFonts w:ascii="Times New Roman" w:hAnsi="Times New Roman"/>
          <w:b/>
          <w:iCs/>
          <w:color w:val="auto"/>
          <w:sz w:val="24"/>
          <w:szCs w:val="19"/>
        </w:rPr>
        <w:t>51</w:t>
      </w:r>
      <w:r w:rsidRPr="00AC58E7">
        <w:rPr>
          <w:rFonts w:ascii="Times New Roman" w:hAnsi="Times New Roman"/>
          <w:color w:val="auto"/>
          <w:sz w:val="24"/>
          <w:szCs w:val="19"/>
        </w:rPr>
        <w:t>, 265–290.</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Lee, M. and Battilana, J. (2013). </w:t>
      </w:r>
      <w:r w:rsidRPr="00AC58E7">
        <w:rPr>
          <w:rFonts w:ascii="Times New Roman" w:hAnsi="Times New Roman" w:cs="Times New Roman"/>
          <w:i/>
          <w:color w:val="auto"/>
          <w:sz w:val="24"/>
          <w:szCs w:val="24"/>
        </w:rPr>
        <w:t>How the Zebra Got Its Stripes: Imprinting of Individuals and Hybrid Social Ventures</w:t>
      </w:r>
      <w:r w:rsidRPr="00AC58E7">
        <w:rPr>
          <w:rFonts w:ascii="Times New Roman" w:hAnsi="Times New Roman" w:cs="Times New Roman"/>
          <w:color w:val="auto"/>
          <w:sz w:val="24"/>
          <w:szCs w:val="24"/>
        </w:rPr>
        <w:t>. Working Paper 14-005, Harvard Business School, Boston, MA.</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w:hAnsi="Times" w:cs="Times"/>
          <w:color w:val="auto"/>
          <w:sz w:val="24"/>
          <w:szCs w:val="24"/>
        </w:rPr>
        <w:t xml:space="preserve">Lefsrud, L. M. and Jennings, P. D. (2014). ‘Entrepreneurial storytelling: An institutional tale’. In Newbert, S. L. (Ed), </w:t>
      </w:r>
      <w:r w:rsidRPr="00AC58E7">
        <w:rPr>
          <w:rFonts w:ascii="Times" w:hAnsi="Times" w:cs="Times"/>
          <w:i/>
          <w:color w:val="auto"/>
          <w:sz w:val="24"/>
          <w:szCs w:val="24"/>
        </w:rPr>
        <w:t>Small Business in the 21st Century</w:t>
      </w:r>
      <w:r w:rsidRPr="00AC58E7">
        <w:rPr>
          <w:rFonts w:ascii="Times" w:hAnsi="Times" w:cs="Times"/>
          <w:color w:val="auto"/>
          <w:sz w:val="24"/>
          <w:szCs w:val="24"/>
        </w:rPr>
        <w:t>. Santa Barbara, CA: Praeger, 215</w:t>
      </w:r>
      <w:r w:rsidRPr="00AC58E7">
        <w:rPr>
          <w:rFonts w:ascii="Times New Roman" w:eastAsia="Calibri" w:hAnsi="Times New Roman"/>
          <w:sz w:val="24"/>
        </w:rPr>
        <w:t>–241</w:t>
      </w:r>
      <w:r w:rsidRPr="00AC58E7">
        <w:rPr>
          <w:rFonts w:ascii="Times" w:hAnsi="Times" w:cs="Times"/>
          <w:color w:val="auto"/>
          <w:sz w:val="24"/>
          <w:szCs w:val="24"/>
        </w:rPr>
        <w:t>.</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Lefsrud, L. M. and Meyer, R. E. (2012). ‘Science or science fiction? Professionals’ discursive construction of climate change’. </w:t>
      </w:r>
      <w:r w:rsidRPr="00AC58E7">
        <w:rPr>
          <w:rFonts w:ascii="Times New Roman" w:hAnsi="Times New Roman" w:cs="Times New Roman"/>
          <w:i/>
          <w:iCs/>
          <w:color w:val="auto"/>
          <w:sz w:val="24"/>
          <w:szCs w:val="24"/>
        </w:rPr>
        <w:t>Organization Studies</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33</w:t>
      </w:r>
      <w:r w:rsidRPr="00AC58E7">
        <w:rPr>
          <w:rFonts w:ascii="Times New Roman" w:hAnsi="Times New Roman" w:cs="Times New Roman"/>
          <w:b/>
          <w:color w:val="auto"/>
          <w:sz w:val="24"/>
          <w:szCs w:val="24"/>
        </w:rPr>
        <w:t>,</w:t>
      </w:r>
      <w:r w:rsidRPr="00AC58E7">
        <w:rPr>
          <w:rFonts w:ascii="Times New Roman" w:hAnsi="Times New Roman" w:cs="Times New Roman"/>
          <w:color w:val="auto"/>
          <w:sz w:val="24"/>
          <w:szCs w:val="24"/>
        </w:rPr>
        <w:t xml:space="preserve"> 1477</w:t>
      </w:r>
      <w:r w:rsidRPr="00AC58E7">
        <w:rPr>
          <w:rFonts w:ascii="Times New Roman" w:eastAsia="Calibri" w:hAnsi="Times New Roman"/>
          <w:sz w:val="24"/>
        </w:rPr>
        <w:t>–</w:t>
      </w:r>
      <w:r w:rsidRPr="00AC58E7">
        <w:rPr>
          <w:rFonts w:ascii="Times New Roman" w:hAnsi="Times New Roman" w:cs="Times New Roman"/>
          <w:color w:val="auto"/>
          <w:sz w:val="24"/>
          <w:szCs w:val="24"/>
        </w:rPr>
        <w:t>1506.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Lewis, M. W., Andriopoulos, C. and Smith, W. K. (2014). ‘Paradoxical leadership to enable strategic agility’. </w:t>
      </w:r>
      <w:r w:rsidRPr="00AC58E7">
        <w:rPr>
          <w:rFonts w:ascii="Times New Roman" w:eastAsia="Calibri" w:hAnsi="Times New Roman"/>
          <w:i/>
          <w:iCs/>
          <w:sz w:val="24"/>
        </w:rPr>
        <w:t>California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56</w:t>
      </w:r>
      <w:r w:rsidRPr="00AC58E7">
        <w:rPr>
          <w:rFonts w:ascii="Times New Roman" w:eastAsia="Calibri" w:hAnsi="Times New Roman"/>
          <w:sz w:val="24"/>
        </w:rPr>
        <w:t>, 58–77.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Lewis, M. W. (2000). ‘Exploring paradox: Toward a more comprehensive guide’.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25</w:t>
      </w:r>
      <w:r w:rsidRPr="00AC58E7">
        <w:rPr>
          <w:rFonts w:ascii="Times New Roman" w:eastAsia="Calibri" w:hAnsi="Times New Roman"/>
          <w:sz w:val="24"/>
        </w:rPr>
        <w:t>, 760–776.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rPr>
        <w:t xml:space="preserve">Ling, Y., Floyd, S. W. and Baldridge, D. C. (2005). ‘Toward a model of issue-selling by subsidiary managers in multinational organizations’. </w:t>
      </w:r>
      <w:r w:rsidRPr="00AC58E7">
        <w:rPr>
          <w:rFonts w:ascii="Times New Roman" w:hAnsi="Times New Roman" w:cs="Times New Roman"/>
          <w:i/>
          <w:iCs/>
          <w:color w:val="auto"/>
          <w:sz w:val="24"/>
          <w:szCs w:val="24"/>
        </w:rPr>
        <w:t>Journal of International Business Studies</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36</w:t>
      </w:r>
      <w:r w:rsidRPr="00AC58E7">
        <w:rPr>
          <w:rFonts w:ascii="Times New Roman" w:hAnsi="Times New Roman" w:cs="Times New Roman"/>
          <w:b/>
          <w:color w:val="auto"/>
          <w:sz w:val="24"/>
          <w:szCs w:val="24"/>
        </w:rPr>
        <w:t>,</w:t>
      </w:r>
      <w:r>
        <w:rPr>
          <w:rFonts w:ascii="Times New Roman" w:hAnsi="Times New Roman" w:cs="Times New Roman"/>
          <w:color w:val="auto"/>
          <w:sz w:val="24"/>
          <w:szCs w:val="24"/>
        </w:rPr>
        <w:t xml:space="preserve"> 637</w:t>
      </w:r>
      <w:r w:rsidRPr="00AC58E7">
        <w:rPr>
          <w:rFonts w:ascii="Times New Roman" w:eastAsia="Calibri" w:hAnsi="Times New Roman"/>
          <w:sz w:val="24"/>
        </w:rPr>
        <w:t>–</w:t>
      </w:r>
      <w:r w:rsidRPr="00AC58E7">
        <w:rPr>
          <w:rFonts w:ascii="Times New Roman" w:hAnsi="Times New Roman" w:cs="Times New Roman"/>
          <w:color w:val="auto"/>
          <w:sz w:val="24"/>
          <w:szCs w:val="24"/>
        </w:rPr>
        <w:t>654.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rPr>
        <w:t xml:space="preserve">Ling, Y., Baldridge, D., and Craig, J. B. (2012). ‘The impact of family structure on issue selling by successor generation members in family firms’. </w:t>
      </w:r>
      <w:r w:rsidRPr="00AC58E7">
        <w:rPr>
          <w:rFonts w:ascii="Times New Roman" w:hAnsi="Times New Roman" w:cs="Times New Roman"/>
          <w:i/>
          <w:iCs/>
          <w:color w:val="auto"/>
          <w:sz w:val="24"/>
          <w:szCs w:val="24"/>
        </w:rPr>
        <w:t>Journal of Family Business Strategy</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3</w:t>
      </w:r>
      <w:r w:rsidRPr="00AC58E7">
        <w:rPr>
          <w:rFonts w:ascii="Times New Roman" w:hAnsi="Times New Roman" w:cs="Times New Roman"/>
          <w:b/>
          <w:color w:val="auto"/>
          <w:sz w:val="24"/>
          <w:szCs w:val="24"/>
        </w:rPr>
        <w:t>,</w:t>
      </w:r>
      <w:r>
        <w:rPr>
          <w:rFonts w:ascii="Times New Roman" w:hAnsi="Times New Roman" w:cs="Times New Roman"/>
          <w:color w:val="auto"/>
          <w:sz w:val="24"/>
          <w:szCs w:val="24"/>
        </w:rPr>
        <w:t xml:space="preserve"> 220</w:t>
      </w:r>
      <w:r w:rsidRPr="00AC58E7">
        <w:rPr>
          <w:rFonts w:ascii="Times New Roman" w:eastAsia="Calibri" w:hAnsi="Times New Roman"/>
          <w:sz w:val="24"/>
        </w:rPr>
        <w:t>–</w:t>
      </w:r>
      <w:r w:rsidRPr="00AC58E7">
        <w:rPr>
          <w:rFonts w:ascii="Times New Roman" w:hAnsi="Times New Roman" w:cs="Times New Roman"/>
          <w:color w:val="auto"/>
          <w:sz w:val="24"/>
          <w:szCs w:val="24"/>
        </w:rPr>
        <w:t>227.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lang w:val="en-GB"/>
        </w:rPr>
        <w:t>Loewenstein, J., Ocasio, W. and Jones, C. (2012). ‘</w:t>
      </w:r>
      <w:r w:rsidRPr="00AC58E7">
        <w:rPr>
          <w:rFonts w:ascii="Times New Roman" w:hAnsi="Times New Roman" w:cs="Times New Roman"/>
          <w:color w:val="auto"/>
          <w:sz w:val="24"/>
          <w:szCs w:val="24"/>
        </w:rPr>
        <w:t xml:space="preserve">Vocabularies and vocabulary structure: A new approach linking categories, practices, and institutions’. </w:t>
      </w:r>
      <w:r w:rsidRPr="00AC58E7">
        <w:rPr>
          <w:rFonts w:ascii="Times New Roman" w:hAnsi="Times New Roman" w:cs="Times New Roman"/>
          <w:i/>
          <w:color w:val="auto"/>
          <w:sz w:val="24"/>
          <w:szCs w:val="24"/>
        </w:rPr>
        <w:t>The Academy of Management Annals,</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6,</w:t>
      </w:r>
      <w:r>
        <w:rPr>
          <w:rFonts w:ascii="Times New Roman" w:hAnsi="Times New Roman" w:cs="Times New Roman"/>
          <w:color w:val="auto"/>
          <w:sz w:val="24"/>
          <w:szCs w:val="24"/>
        </w:rPr>
        <w:t xml:space="preserve"> 41</w:t>
      </w:r>
      <w:r w:rsidRPr="00AC58E7">
        <w:rPr>
          <w:rFonts w:ascii="Times New Roman" w:eastAsia="Calibri" w:hAnsi="Times New Roman"/>
          <w:sz w:val="24"/>
        </w:rPr>
        <w:t>–</w:t>
      </w:r>
      <w:r w:rsidRPr="00AC58E7">
        <w:rPr>
          <w:rFonts w:ascii="Times New Roman" w:hAnsi="Times New Roman" w:cs="Times New Roman"/>
          <w:color w:val="auto"/>
          <w:sz w:val="24"/>
          <w:szCs w:val="24"/>
        </w:rPr>
        <w:t>86.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Mair, J. and Martí, I. (2006). ‘Social entrepreneurship research: A source of explanation, prediction, and delight’</w:t>
      </w:r>
      <w:r w:rsidRPr="00AC58E7">
        <w:rPr>
          <w:rFonts w:ascii="Times New Roman" w:eastAsia="Calibri" w:hAnsi="Times New Roman"/>
          <w:i/>
          <w:iCs/>
          <w:kern w:val="1"/>
          <w:sz w:val="24"/>
        </w:rPr>
        <w:t xml:space="preserve">. </w:t>
      </w:r>
      <w:r w:rsidRPr="00AC58E7">
        <w:rPr>
          <w:rFonts w:ascii="Times New Roman" w:eastAsia="Calibri" w:hAnsi="Times New Roman"/>
          <w:bCs/>
          <w:i/>
          <w:iCs/>
          <w:kern w:val="1"/>
          <w:sz w:val="24"/>
        </w:rPr>
        <w:t>Journal of World Business</w:t>
      </w:r>
      <w:r w:rsidRPr="00AC58E7">
        <w:rPr>
          <w:rFonts w:ascii="Times New Roman" w:eastAsia="Calibri" w:hAnsi="Times New Roman"/>
          <w:kern w:val="1"/>
          <w:sz w:val="24"/>
        </w:rPr>
        <w:t>,</w:t>
      </w:r>
      <w:r w:rsidRPr="00AC58E7">
        <w:rPr>
          <w:rFonts w:ascii="Times New Roman" w:eastAsia="Calibri" w:hAnsi="Times New Roman"/>
          <w:i/>
          <w:iCs/>
          <w:kern w:val="1"/>
          <w:sz w:val="24"/>
        </w:rPr>
        <w:t xml:space="preserve"> </w:t>
      </w:r>
      <w:r w:rsidRPr="00AC58E7">
        <w:rPr>
          <w:rFonts w:ascii="Times New Roman" w:eastAsia="Calibri" w:hAnsi="Times New Roman"/>
          <w:b/>
          <w:kern w:val="1"/>
          <w:sz w:val="24"/>
        </w:rPr>
        <w:t>41</w:t>
      </w:r>
      <w:r w:rsidRPr="00AC58E7">
        <w:rPr>
          <w:rFonts w:ascii="Times New Roman" w:eastAsia="Calibri" w:hAnsi="Times New Roman"/>
          <w:kern w:val="1"/>
          <w:sz w:val="24"/>
        </w:rPr>
        <w:t>, 36–44.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hAnsi="Times New Roman" w:cs="Times New Roman"/>
          <w:color w:val="auto"/>
          <w:sz w:val="24"/>
          <w:szCs w:val="24"/>
        </w:rPr>
        <w:t xml:space="preserve">Mair, J., Mayer, J. and Lutz, E. (2015). ‘Navigating institutional plurality: Organizational governance in hybrid organizations’. </w:t>
      </w:r>
      <w:r w:rsidRPr="00AC58E7">
        <w:rPr>
          <w:rFonts w:ascii="Times New Roman" w:hAnsi="Times New Roman" w:cs="Times New Roman"/>
          <w:i/>
          <w:iCs/>
          <w:color w:val="auto"/>
          <w:sz w:val="24"/>
          <w:szCs w:val="24"/>
        </w:rPr>
        <w:t>Organization Studies</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36</w:t>
      </w:r>
      <w:r w:rsidRPr="00AC58E7">
        <w:rPr>
          <w:rFonts w:ascii="Times New Roman" w:hAnsi="Times New Roman" w:cs="Times New Roman"/>
          <w:b/>
          <w:color w:val="auto"/>
          <w:sz w:val="24"/>
          <w:szCs w:val="24"/>
        </w:rPr>
        <w:t>,</w:t>
      </w:r>
      <w:r>
        <w:rPr>
          <w:rFonts w:ascii="Times New Roman" w:hAnsi="Times New Roman" w:cs="Times New Roman"/>
          <w:color w:val="auto"/>
          <w:sz w:val="24"/>
          <w:szCs w:val="24"/>
        </w:rPr>
        <w:t xml:space="preserve"> 713</w:t>
      </w:r>
      <w:r w:rsidRPr="00AC58E7">
        <w:rPr>
          <w:rFonts w:ascii="Times New Roman" w:eastAsia="Calibri" w:hAnsi="Times New Roman"/>
          <w:sz w:val="24"/>
        </w:rPr>
        <w:t>–</w:t>
      </w:r>
      <w:r w:rsidRPr="00AC58E7">
        <w:rPr>
          <w:rFonts w:ascii="Times New Roman" w:hAnsi="Times New Roman" w:cs="Times New Roman"/>
          <w:color w:val="auto"/>
          <w:sz w:val="24"/>
          <w:szCs w:val="24"/>
        </w:rPr>
        <w:t>739.</w:t>
      </w:r>
    </w:p>
    <w:p w:rsidR="00FF2A8D" w:rsidRPr="00AC58E7" w:rsidRDefault="00FF2A8D" w:rsidP="00FF2A8D">
      <w:pPr>
        <w:autoSpaceDE w:val="0"/>
        <w:autoSpaceDN w:val="0"/>
        <w:adjustRightInd w:val="0"/>
        <w:spacing w:line="480" w:lineRule="auto"/>
        <w:ind w:left="397" w:hanging="397"/>
        <w:rPr>
          <w:rFonts w:ascii="Times New Roman" w:hAnsi="Times New Roman"/>
          <w:color w:val="auto"/>
          <w:sz w:val="24"/>
          <w:szCs w:val="19"/>
        </w:rPr>
      </w:pPr>
      <w:r w:rsidRPr="00AC58E7">
        <w:rPr>
          <w:rFonts w:ascii="Times New Roman" w:hAnsi="Times New Roman"/>
          <w:color w:val="auto"/>
          <w:sz w:val="24"/>
          <w:szCs w:val="19"/>
        </w:rPr>
        <w:t>Markham, S. K., Ward, S. J., Aiman</w:t>
      </w:r>
      <w:r w:rsidRPr="00AC58E7">
        <w:rPr>
          <w:rFonts w:ascii="Times New Roman" w:hAnsi="Times New Roman" w:cs="Menlo Regular"/>
          <w:color w:val="auto"/>
          <w:sz w:val="24"/>
          <w:szCs w:val="19"/>
        </w:rPr>
        <w:t>-</w:t>
      </w:r>
      <w:r w:rsidRPr="00AC58E7">
        <w:rPr>
          <w:rFonts w:ascii="Times New Roman" w:hAnsi="Times New Roman"/>
          <w:color w:val="auto"/>
          <w:sz w:val="24"/>
          <w:szCs w:val="19"/>
        </w:rPr>
        <w:t xml:space="preserve">Smith, L. and Kingon, A. I. (2010). ‘The valley of death as context for role theory in product innovation’. </w:t>
      </w:r>
      <w:r w:rsidRPr="00AC58E7">
        <w:rPr>
          <w:rFonts w:ascii="Times New Roman" w:hAnsi="Times New Roman"/>
          <w:i/>
          <w:iCs/>
          <w:color w:val="auto"/>
          <w:sz w:val="24"/>
          <w:szCs w:val="19"/>
        </w:rPr>
        <w:t>Journal of Product Innovation Management</w:t>
      </w:r>
      <w:r w:rsidRPr="00AC58E7">
        <w:rPr>
          <w:rFonts w:ascii="Times New Roman" w:hAnsi="Times New Roman" w:cs="Times New Roman"/>
          <w:color w:val="auto"/>
          <w:sz w:val="24"/>
          <w:szCs w:val="19"/>
        </w:rPr>
        <w:t xml:space="preserve">, </w:t>
      </w:r>
      <w:r w:rsidRPr="00AC58E7">
        <w:rPr>
          <w:rFonts w:ascii="Times New Roman" w:hAnsi="Times New Roman"/>
          <w:b/>
          <w:iCs/>
          <w:color w:val="auto"/>
          <w:sz w:val="24"/>
          <w:szCs w:val="19"/>
        </w:rPr>
        <w:t>27</w:t>
      </w:r>
      <w:r w:rsidRPr="00AC58E7">
        <w:rPr>
          <w:rFonts w:ascii="Times New Roman" w:hAnsi="Times New Roman"/>
          <w:color w:val="auto"/>
          <w:sz w:val="24"/>
          <w:szCs w:val="19"/>
        </w:rPr>
        <w:t>, 402–417.</w:t>
      </w:r>
    </w:p>
    <w:p w:rsidR="00FF2A8D" w:rsidRPr="00AC58E7" w:rsidRDefault="00FF2A8D" w:rsidP="00FF2A8D">
      <w:pPr>
        <w:autoSpaceDE w:val="0"/>
        <w:autoSpaceDN w:val="0"/>
        <w:adjustRightInd w:val="0"/>
        <w:spacing w:line="480" w:lineRule="auto"/>
        <w:ind w:left="397" w:hanging="397"/>
        <w:rPr>
          <w:rFonts w:ascii="Times New Roman" w:hAnsi="Times New Roman"/>
          <w:color w:val="auto"/>
          <w:sz w:val="24"/>
          <w:szCs w:val="19"/>
        </w:rPr>
      </w:pPr>
      <w:r w:rsidRPr="00AC58E7">
        <w:rPr>
          <w:rFonts w:ascii="Times New Roman" w:hAnsi="Times New Roman"/>
          <w:color w:val="auto"/>
          <w:sz w:val="24"/>
          <w:szCs w:val="19"/>
        </w:rPr>
        <w:t xml:space="preserve">Martens, M. L., Jennings, J. E., and Jennings, P. D. (2007). ‘Do the stories they tell get them the money they need? The role of entrepreneurial narratives in resource acquisition’. </w:t>
      </w:r>
      <w:r w:rsidRPr="00AC58E7">
        <w:rPr>
          <w:rFonts w:ascii="Times New Roman" w:hAnsi="Times New Roman"/>
          <w:i/>
          <w:color w:val="auto"/>
          <w:sz w:val="24"/>
          <w:szCs w:val="19"/>
        </w:rPr>
        <w:t>Academy of Management Journal</w:t>
      </w:r>
      <w:r w:rsidRPr="00AC58E7">
        <w:rPr>
          <w:rFonts w:ascii="Times New Roman" w:hAnsi="Times New Roman"/>
          <w:color w:val="auto"/>
          <w:sz w:val="24"/>
          <w:szCs w:val="19"/>
        </w:rPr>
        <w:t xml:space="preserve">, </w:t>
      </w:r>
      <w:r w:rsidRPr="00AC58E7">
        <w:rPr>
          <w:rFonts w:ascii="Times New Roman" w:hAnsi="Times New Roman"/>
          <w:b/>
          <w:color w:val="auto"/>
          <w:sz w:val="24"/>
          <w:szCs w:val="19"/>
        </w:rPr>
        <w:t>50</w:t>
      </w:r>
      <w:r w:rsidRPr="00AC58E7">
        <w:rPr>
          <w:rFonts w:ascii="Times New Roman" w:hAnsi="Times New Roman"/>
          <w:color w:val="auto"/>
          <w:sz w:val="24"/>
          <w:szCs w:val="19"/>
        </w:rPr>
        <w:t>, 1107–1132.</w:t>
      </w:r>
    </w:p>
    <w:p w:rsidR="00FF2A8D" w:rsidRPr="00AC58E7" w:rsidRDefault="00FF2A8D" w:rsidP="00FF2A8D">
      <w:pPr>
        <w:autoSpaceDE w:val="0"/>
        <w:autoSpaceDN w:val="0"/>
        <w:adjustRightInd w:val="0"/>
        <w:spacing w:line="480" w:lineRule="auto"/>
        <w:ind w:left="397" w:hanging="397"/>
        <w:rPr>
          <w:rFonts w:ascii="Times New Roman" w:hAnsi="Times New Roman"/>
          <w:color w:val="auto"/>
          <w:sz w:val="24"/>
          <w:szCs w:val="19"/>
        </w:rPr>
      </w:pPr>
      <w:r w:rsidRPr="00AC58E7">
        <w:rPr>
          <w:rFonts w:ascii="Times New Roman" w:hAnsi="Times New Roman"/>
          <w:color w:val="auto"/>
          <w:sz w:val="24"/>
          <w:szCs w:val="19"/>
        </w:rPr>
        <w:t xml:space="preserve">McPherson, C. M. and Sauder, M. (2013). ‘Logics in action: Managing institutional complexity in a drug court’. </w:t>
      </w:r>
      <w:r w:rsidRPr="00AC58E7">
        <w:rPr>
          <w:rFonts w:ascii="Times New Roman" w:hAnsi="Times New Roman"/>
          <w:i/>
          <w:color w:val="auto"/>
          <w:sz w:val="24"/>
          <w:szCs w:val="19"/>
        </w:rPr>
        <w:t>Administrative Science Quarterly,</w:t>
      </w:r>
      <w:r w:rsidRPr="00AC58E7">
        <w:rPr>
          <w:rFonts w:ascii="Times New Roman" w:hAnsi="Times New Roman"/>
          <w:color w:val="auto"/>
          <w:sz w:val="24"/>
          <w:szCs w:val="19"/>
        </w:rPr>
        <w:t xml:space="preserve"> </w:t>
      </w:r>
      <w:r w:rsidRPr="00AC58E7">
        <w:rPr>
          <w:rFonts w:ascii="Times New Roman" w:hAnsi="Times New Roman"/>
          <w:b/>
          <w:color w:val="auto"/>
          <w:sz w:val="24"/>
          <w:szCs w:val="19"/>
        </w:rPr>
        <w:t xml:space="preserve">58, </w:t>
      </w:r>
      <w:r w:rsidRPr="00AC58E7">
        <w:rPr>
          <w:rFonts w:ascii="Times New Roman" w:hAnsi="Times New Roman"/>
          <w:color w:val="auto"/>
          <w:sz w:val="24"/>
          <w:szCs w:val="19"/>
        </w:rPr>
        <w:t>165–196.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Meyerson, D. E. and Scully, M. A. (1995). ‘Tempered radicalism and the politics of ambivalence and change’. </w:t>
      </w:r>
      <w:r w:rsidRPr="00AC58E7">
        <w:rPr>
          <w:rFonts w:ascii="Times New Roman" w:eastAsia="Calibri" w:hAnsi="Times New Roman"/>
          <w:bCs/>
          <w:i/>
          <w:iCs/>
          <w:kern w:val="1"/>
          <w:sz w:val="24"/>
        </w:rPr>
        <w:t>Organization Science</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6</w:t>
      </w:r>
      <w:r w:rsidRPr="00AC58E7">
        <w:rPr>
          <w:rFonts w:ascii="Times New Roman" w:eastAsia="Calibri" w:hAnsi="Times New Roman"/>
          <w:kern w:val="1"/>
          <w:sz w:val="24"/>
        </w:rPr>
        <w:t>, 585–600.</w:t>
      </w:r>
    </w:p>
    <w:p w:rsidR="00FF2A8D" w:rsidRPr="00AC58E7" w:rsidRDefault="00FF2A8D" w:rsidP="00FF2A8D">
      <w:pPr>
        <w:widowControl w:val="0"/>
        <w:autoSpaceDE w:val="0"/>
        <w:autoSpaceDN w:val="0"/>
        <w:adjustRightInd w:val="0"/>
        <w:spacing w:line="480" w:lineRule="auto"/>
        <w:ind w:left="397" w:right="-720"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Net Impact (2009). </w:t>
      </w:r>
      <w:r w:rsidRPr="00AC58E7">
        <w:rPr>
          <w:rFonts w:ascii="Times New Roman" w:hAnsi="Times New Roman" w:cs="Times New Roman"/>
          <w:i/>
          <w:color w:val="auto"/>
          <w:sz w:val="24"/>
          <w:szCs w:val="24"/>
        </w:rPr>
        <w:t>Making Your Impact at Work: A Practical Guide to Changing the World from Inside Any Company</w:t>
      </w:r>
      <w:r w:rsidRPr="00AC58E7">
        <w:rPr>
          <w:rFonts w:ascii="Times New Roman" w:hAnsi="Times New Roman" w:cs="Times New Roman"/>
          <w:color w:val="auto"/>
          <w:sz w:val="24"/>
          <w:szCs w:val="24"/>
        </w:rPr>
        <w:t>. San Francisco, CA.</w:t>
      </w:r>
    </w:p>
    <w:p w:rsidR="00FF2A8D" w:rsidRPr="00AC58E7" w:rsidRDefault="00FF2A8D" w:rsidP="00FF2A8D">
      <w:pPr>
        <w:widowControl w:val="0"/>
        <w:autoSpaceDE w:val="0"/>
        <w:autoSpaceDN w:val="0"/>
        <w:adjustRightInd w:val="0"/>
        <w:spacing w:line="480" w:lineRule="auto"/>
        <w:ind w:left="397" w:right="-720" w:hanging="397"/>
        <w:rPr>
          <w:rFonts w:ascii="Times New Roman" w:hAnsi="Times New Roman" w:cs="Times New Roman"/>
          <w:color w:val="auto"/>
          <w:sz w:val="24"/>
          <w:szCs w:val="24"/>
        </w:rPr>
      </w:pPr>
      <w:r w:rsidRPr="00AC58E7">
        <w:rPr>
          <w:rFonts w:ascii="Times New Roman" w:eastAsia="Calibri" w:hAnsi="Times New Roman"/>
          <w:sz w:val="24"/>
        </w:rPr>
        <w:t>Oliver, C. (1991). ‘Strategic respo</w:t>
      </w:r>
      <w:r>
        <w:rPr>
          <w:rFonts w:ascii="Times New Roman" w:eastAsia="Calibri" w:hAnsi="Times New Roman"/>
          <w:sz w:val="24"/>
        </w:rPr>
        <w:t>nses to institutional processes’</w:t>
      </w:r>
      <w:r w:rsidRPr="00AC58E7">
        <w:rPr>
          <w:rFonts w:ascii="Times New Roman" w:eastAsia="Calibri" w:hAnsi="Times New Roman"/>
          <w:sz w:val="24"/>
        </w:rPr>
        <w:t>.</w:t>
      </w:r>
      <w:r>
        <w:rPr>
          <w:rFonts w:ascii="Times New Roman" w:eastAsia="Calibri" w:hAnsi="Times New Roman"/>
          <w:sz w:val="24"/>
        </w:rPr>
        <w:t xml:space="preserve">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16</w:t>
      </w:r>
      <w:r w:rsidRPr="00AC58E7">
        <w:rPr>
          <w:rFonts w:ascii="Times New Roman" w:eastAsia="Calibri" w:hAnsi="Times New Roman"/>
          <w:sz w:val="24"/>
        </w:rPr>
        <w:t>, 145–179.</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Olsen, M. and Boxenbaum, E. (2009). ‘Bottom-of-the-pyramid: Organizational barriers to implementation’. </w:t>
      </w:r>
      <w:r w:rsidRPr="00AC58E7">
        <w:rPr>
          <w:rFonts w:ascii="Times New Roman" w:eastAsia="Calibri" w:hAnsi="Times New Roman"/>
          <w:i/>
          <w:iCs/>
          <w:sz w:val="24"/>
        </w:rPr>
        <w:t>California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51</w:t>
      </w:r>
      <w:r w:rsidRPr="00AC58E7">
        <w:rPr>
          <w:rFonts w:ascii="Times New Roman" w:eastAsia="Calibri" w:hAnsi="Times New Roman"/>
          <w:sz w:val="24"/>
        </w:rPr>
        <w:t>, 100–125.</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Pache, A. C. and Santos, F. (2013). ‘Inside the hybrid organization: Selective coupling as a response to competing institutional logics’. </w:t>
      </w:r>
      <w:r w:rsidRPr="00AC58E7">
        <w:rPr>
          <w:rFonts w:ascii="Times New Roman" w:hAnsi="Times New Roman" w:cs="Times New Roman"/>
          <w:i/>
          <w:iCs/>
          <w:color w:val="auto"/>
          <w:sz w:val="24"/>
          <w:szCs w:val="24"/>
        </w:rPr>
        <w:t>Academy of Management Journal</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56</w:t>
      </w:r>
      <w:r w:rsidRPr="00AC58E7">
        <w:rPr>
          <w:rFonts w:ascii="Times New Roman" w:hAnsi="Times New Roman" w:cs="Times New Roman"/>
          <w:b/>
          <w:color w:val="auto"/>
          <w:sz w:val="24"/>
          <w:szCs w:val="24"/>
        </w:rPr>
        <w:t>,</w:t>
      </w:r>
      <w:r w:rsidRPr="00AC58E7">
        <w:rPr>
          <w:rFonts w:ascii="Times New Roman" w:hAnsi="Times New Roman" w:cs="Times New Roman"/>
          <w:color w:val="auto"/>
          <w:sz w:val="24"/>
          <w:szCs w:val="24"/>
        </w:rPr>
        <w:t xml:space="preserve"> 972</w:t>
      </w:r>
      <w:r w:rsidRPr="00AC58E7">
        <w:rPr>
          <w:rFonts w:ascii="Times New Roman" w:eastAsia="Calibri" w:hAnsi="Times New Roman"/>
          <w:sz w:val="24"/>
        </w:rPr>
        <w:t>–</w:t>
      </w:r>
      <w:r w:rsidRPr="00AC58E7">
        <w:rPr>
          <w:rFonts w:ascii="Times New Roman" w:hAnsi="Times New Roman" w:cs="Times New Roman"/>
          <w:color w:val="auto"/>
          <w:sz w:val="24"/>
          <w:szCs w:val="24"/>
        </w:rPr>
        <w:t>1001.</w:t>
      </w:r>
    </w:p>
    <w:p w:rsidR="00520035" w:rsidRDefault="00FF2A8D" w:rsidP="00520035">
      <w:pPr>
        <w:autoSpaceDE w:val="0"/>
        <w:autoSpaceDN w:val="0"/>
        <w:adjustRightInd w:val="0"/>
        <w:spacing w:line="480" w:lineRule="auto"/>
        <w:ind w:left="397" w:hanging="397"/>
        <w:rPr>
          <w:rFonts w:ascii="Times New Roman" w:eastAsia="Calibri" w:hAnsi="Times New Roman"/>
          <w:sz w:val="24"/>
        </w:rPr>
      </w:pPr>
      <w:r w:rsidRPr="00AC58E7">
        <w:rPr>
          <w:rFonts w:ascii="Times New Roman" w:hAnsi="Times New Roman" w:cs="Times New Roman"/>
          <w:color w:val="auto"/>
          <w:sz w:val="24"/>
          <w:szCs w:val="24"/>
        </w:rPr>
        <w:t xml:space="preserve">Pandza, K. (2011). ‘Why and how will a group act autonomously to make an impact on the development of organizational capabilities’? </w:t>
      </w:r>
      <w:r w:rsidRPr="00AC58E7">
        <w:rPr>
          <w:rFonts w:ascii="Times New Roman" w:hAnsi="Times New Roman" w:cs="Times New Roman"/>
          <w:i/>
          <w:iCs/>
          <w:color w:val="auto"/>
          <w:sz w:val="24"/>
          <w:szCs w:val="24"/>
        </w:rPr>
        <w:t>Journal of Management Studies</w:t>
      </w:r>
      <w:r w:rsidRPr="00AC58E7">
        <w:rPr>
          <w:rFonts w:ascii="Times New Roman" w:hAnsi="Times New Roman" w:cs="Times New Roman"/>
          <w:color w:val="auto"/>
          <w:sz w:val="24"/>
          <w:szCs w:val="24"/>
        </w:rPr>
        <w:t xml:space="preserve">, </w:t>
      </w:r>
      <w:r w:rsidRPr="00AC58E7">
        <w:rPr>
          <w:rFonts w:ascii="Times New Roman" w:hAnsi="Times New Roman" w:cs="Times New Roman"/>
          <w:b/>
          <w:i/>
          <w:iCs/>
          <w:color w:val="auto"/>
          <w:sz w:val="24"/>
          <w:szCs w:val="24"/>
        </w:rPr>
        <w:t>48</w:t>
      </w:r>
      <w:r w:rsidRPr="00AC58E7">
        <w:rPr>
          <w:rFonts w:ascii="Times New Roman" w:hAnsi="Times New Roman" w:cs="Times New Roman"/>
          <w:b/>
          <w:color w:val="auto"/>
          <w:sz w:val="24"/>
          <w:szCs w:val="24"/>
        </w:rPr>
        <w:t>,</w:t>
      </w:r>
      <w:r w:rsidRPr="00AC58E7">
        <w:rPr>
          <w:rFonts w:ascii="Times New Roman" w:hAnsi="Times New Roman" w:cs="Times New Roman"/>
          <w:color w:val="auto"/>
          <w:sz w:val="24"/>
          <w:szCs w:val="24"/>
        </w:rPr>
        <w:t xml:space="preserve"> 1015</w:t>
      </w:r>
      <w:r w:rsidRPr="00AC58E7">
        <w:rPr>
          <w:rFonts w:ascii="Times New Roman" w:eastAsia="Calibri" w:hAnsi="Times New Roman"/>
          <w:sz w:val="24"/>
        </w:rPr>
        <w:t>–</w:t>
      </w:r>
      <w:r w:rsidRPr="00AC58E7">
        <w:rPr>
          <w:rFonts w:ascii="Times New Roman" w:hAnsi="Times New Roman" w:cs="Times New Roman"/>
          <w:color w:val="auto"/>
          <w:sz w:val="24"/>
          <w:szCs w:val="24"/>
        </w:rPr>
        <w:t>1043.</w:t>
      </w:r>
    </w:p>
    <w:p w:rsidR="00FF2A8D" w:rsidRPr="00AC58E7" w:rsidRDefault="00FF2A8D" w:rsidP="00520035">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Piderit, S. K. and Ashford, S. J. (2003). ‘Breaking silence: Tactical choices women managers make in speaking up about gender-equity issues’. </w:t>
      </w:r>
      <w:r w:rsidRPr="00AC58E7">
        <w:rPr>
          <w:rFonts w:ascii="Times New Roman" w:eastAsia="Calibri" w:hAnsi="Times New Roman"/>
          <w:bCs/>
          <w:i/>
          <w:iCs/>
          <w:kern w:val="1"/>
          <w:sz w:val="24"/>
        </w:rPr>
        <w:t>Journal of Management Studies</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40</w:t>
      </w:r>
      <w:r w:rsidRPr="00AC58E7">
        <w:rPr>
          <w:rFonts w:ascii="Times New Roman" w:eastAsia="Calibri" w:hAnsi="Times New Roman"/>
          <w:kern w:val="1"/>
          <w:sz w:val="24"/>
        </w:rPr>
        <w:t>, 1477–1502.</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Pinkse, J. and Kolk, A. (2010). ‘Challenges and trade</w:t>
      </w:r>
      <w:r w:rsidRPr="00AC58E7">
        <w:rPr>
          <w:rFonts w:ascii="Times New Roman" w:eastAsia="Calibri" w:hAnsi="Times New Roman" w:cs="Menlo Regular"/>
          <w:sz w:val="24"/>
        </w:rPr>
        <w:t>-</w:t>
      </w:r>
      <w:r w:rsidRPr="00AC58E7">
        <w:rPr>
          <w:rFonts w:ascii="Times New Roman" w:eastAsia="Calibri" w:hAnsi="Times New Roman"/>
          <w:sz w:val="24"/>
        </w:rPr>
        <w:t xml:space="preserve">offs in corporate innovation for climate change’. </w:t>
      </w:r>
      <w:r w:rsidRPr="00AC58E7">
        <w:rPr>
          <w:rFonts w:ascii="Times New Roman" w:eastAsia="Calibri" w:hAnsi="Times New Roman"/>
          <w:i/>
          <w:iCs/>
          <w:sz w:val="24"/>
        </w:rPr>
        <w:t>Business Strategy and the Environment</w:t>
      </w:r>
      <w:r w:rsidRPr="00AC58E7">
        <w:rPr>
          <w:rFonts w:ascii="Times New Roman" w:eastAsia="Calibri" w:hAnsi="Times New Roman"/>
          <w:sz w:val="24"/>
        </w:rPr>
        <w:t xml:space="preserve">, </w:t>
      </w:r>
      <w:r w:rsidRPr="00AC58E7">
        <w:rPr>
          <w:rFonts w:ascii="Times New Roman" w:eastAsia="Calibri" w:hAnsi="Times New Roman"/>
          <w:b/>
          <w:iCs/>
          <w:sz w:val="24"/>
        </w:rPr>
        <w:t>19</w:t>
      </w:r>
      <w:r w:rsidRPr="00AC58E7">
        <w:rPr>
          <w:rFonts w:ascii="Times New Roman" w:eastAsia="Calibri" w:hAnsi="Times New Roman"/>
          <w:sz w:val="24"/>
        </w:rPr>
        <w:t>, 261–272.</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Porter, M. E and Kramer, M. R. (2006). ‘Strategy and society: The link between competitive advantage and corporate social responsibility’. </w:t>
      </w:r>
      <w:r w:rsidRPr="00AC58E7">
        <w:rPr>
          <w:rFonts w:ascii="Times New Roman" w:eastAsia="Calibri" w:hAnsi="Times New Roman"/>
          <w:bCs/>
          <w:i/>
          <w:iCs/>
          <w:kern w:val="1"/>
          <w:sz w:val="24"/>
        </w:rPr>
        <w:t>Harvard Business Review</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84</w:t>
      </w:r>
      <w:r w:rsidRPr="00AC58E7">
        <w:rPr>
          <w:rFonts w:ascii="Times New Roman" w:eastAsia="Calibri" w:hAnsi="Times New Roman"/>
          <w:kern w:val="1"/>
          <w:sz w:val="24"/>
        </w:rPr>
        <w:t>, 78–92.</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16"/>
        </w:rPr>
      </w:pPr>
      <w:r w:rsidRPr="00AC58E7">
        <w:rPr>
          <w:rFonts w:ascii="Times New Roman" w:hAnsi="Times New Roman" w:cs="Times New Roman"/>
          <w:color w:val="auto"/>
          <w:sz w:val="24"/>
          <w:szCs w:val="16"/>
        </w:rPr>
        <w:t>Prahalad, C. K. and Hart S. L. (2002). ‘The fortune at the bottom of the pyramid’. S</w:t>
      </w:r>
      <w:r w:rsidRPr="00AC58E7">
        <w:rPr>
          <w:rFonts w:ascii="Times New Roman" w:hAnsi="Times New Roman" w:cs="Times New Roman"/>
          <w:i/>
          <w:iCs/>
          <w:color w:val="auto"/>
          <w:sz w:val="24"/>
          <w:szCs w:val="16"/>
        </w:rPr>
        <w:t xml:space="preserve">trategy </w:t>
      </w:r>
      <w:r w:rsidRPr="00AC58E7">
        <w:rPr>
          <w:rFonts w:ascii="Times New Roman" w:hAnsi="Times New Roman" w:cs="Times New Roman"/>
          <w:color w:val="auto"/>
          <w:sz w:val="24"/>
          <w:szCs w:val="16"/>
        </w:rPr>
        <w:t xml:space="preserve">and </w:t>
      </w:r>
      <w:r w:rsidRPr="00AC58E7">
        <w:rPr>
          <w:rFonts w:ascii="Times New Roman" w:hAnsi="Times New Roman" w:cs="Times New Roman"/>
          <w:i/>
          <w:iCs/>
          <w:color w:val="auto"/>
          <w:sz w:val="24"/>
          <w:szCs w:val="16"/>
        </w:rPr>
        <w:t xml:space="preserve">Business, </w:t>
      </w:r>
      <w:r w:rsidRPr="00AC58E7">
        <w:rPr>
          <w:rFonts w:ascii="Times New Roman" w:hAnsi="Times New Roman" w:cs="Times New Roman"/>
          <w:b/>
          <w:color w:val="auto"/>
          <w:sz w:val="24"/>
          <w:szCs w:val="16"/>
        </w:rPr>
        <w:t>26</w:t>
      </w:r>
      <w:r w:rsidRPr="00AC58E7">
        <w:rPr>
          <w:rFonts w:ascii="Times New Roman" w:hAnsi="Times New Roman" w:cs="Times New Roman"/>
          <w:color w:val="auto"/>
          <w:sz w:val="24"/>
          <w:szCs w:val="16"/>
        </w:rPr>
        <w:t>, 1–14.</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16"/>
        </w:rPr>
      </w:pPr>
      <w:r w:rsidRPr="00AC58E7">
        <w:rPr>
          <w:rFonts w:ascii="Times New Roman" w:hAnsi="Times New Roman" w:cs="Times New Roman"/>
          <w:color w:val="auto"/>
          <w:sz w:val="24"/>
          <w:szCs w:val="24"/>
          <w:lang w:val="en-GB"/>
        </w:rPr>
        <w:t>Ren, C. R. and Guo, C. (2011). ‘</w:t>
      </w:r>
      <w:r w:rsidRPr="00AC58E7">
        <w:rPr>
          <w:rFonts w:ascii="Times New Roman" w:hAnsi="Times New Roman" w:cs="Times New Roman"/>
          <w:color w:val="auto"/>
          <w:sz w:val="24"/>
          <w:szCs w:val="24"/>
        </w:rPr>
        <w:t xml:space="preserve">Middle managers’ strategic role in the corporate entrepreneurial process: Attention-based effects’. </w:t>
      </w:r>
      <w:r w:rsidRPr="00AC58E7">
        <w:rPr>
          <w:rFonts w:ascii="Times New Roman" w:hAnsi="Times New Roman" w:cs="Times New Roman"/>
          <w:i/>
          <w:iCs/>
          <w:color w:val="auto"/>
          <w:sz w:val="24"/>
          <w:szCs w:val="24"/>
        </w:rPr>
        <w:t>Journal of Management</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37,</w:t>
      </w:r>
      <w:r>
        <w:rPr>
          <w:rFonts w:ascii="Times New Roman" w:hAnsi="Times New Roman" w:cs="Times New Roman"/>
          <w:color w:val="auto"/>
          <w:sz w:val="24"/>
          <w:szCs w:val="24"/>
        </w:rPr>
        <w:t xml:space="preserve"> 1586</w:t>
      </w:r>
      <w:r w:rsidRPr="00AC58E7">
        <w:rPr>
          <w:rFonts w:ascii="Times New Roman" w:eastAsia="Calibri" w:hAnsi="Times New Roman"/>
          <w:sz w:val="24"/>
        </w:rPr>
        <w:t>–</w:t>
      </w:r>
      <w:r w:rsidRPr="00AC58E7">
        <w:rPr>
          <w:rFonts w:ascii="Times New Roman" w:hAnsi="Times New Roman" w:cs="Times New Roman"/>
          <w:color w:val="auto"/>
          <w:sz w:val="24"/>
          <w:szCs w:val="24"/>
        </w:rPr>
        <w:t>1610.</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16"/>
        </w:rPr>
      </w:pPr>
      <w:r w:rsidRPr="00AC58E7">
        <w:rPr>
          <w:rFonts w:ascii="Times New Roman" w:hAnsi="Times New Roman" w:cs="Times New Roman"/>
          <w:color w:val="auto"/>
          <w:sz w:val="24"/>
          <w:szCs w:val="24"/>
        </w:rPr>
        <w:t xml:space="preserve">Rokeach, M. (1973). </w:t>
      </w:r>
      <w:r w:rsidRPr="00AC58E7">
        <w:rPr>
          <w:rFonts w:ascii="Times New Roman" w:hAnsi="Times New Roman" w:cs="Times New Roman"/>
          <w:i/>
          <w:iCs/>
          <w:color w:val="auto"/>
          <w:sz w:val="24"/>
          <w:szCs w:val="24"/>
        </w:rPr>
        <w:t>The Nature of Human Values</w:t>
      </w:r>
      <w:r w:rsidRPr="00AC58E7">
        <w:rPr>
          <w:rFonts w:ascii="Times New Roman" w:hAnsi="Times New Roman" w:cs="Times New Roman"/>
          <w:color w:val="auto"/>
          <w:sz w:val="24"/>
          <w:szCs w:val="24"/>
        </w:rPr>
        <w:t>. New York, NY: Free Press.</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16"/>
        </w:rPr>
      </w:pPr>
      <w:r w:rsidRPr="00AC58E7">
        <w:rPr>
          <w:rFonts w:ascii="Times New Roman" w:eastAsia="Calibri" w:hAnsi="Times New Roman"/>
          <w:kern w:val="1"/>
          <w:sz w:val="24"/>
        </w:rPr>
        <w:t xml:space="preserve">Rogan, M. and Bode, C. (2014). </w:t>
      </w:r>
      <w:r w:rsidRPr="00AC58E7">
        <w:rPr>
          <w:rFonts w:ascii="Times New Roman" w:eastAsia="Calibri" w:hAnsi="Times New Roman"/>
          <w:i/>
          <w:kern w:val="1"/>
          <w:sz w:val="24"/>
        </w:rPr>
        <w:t>Accenture Development Partnerships (A)</w:t>
      </w:r>
      <w:r w:rsidRPr="00AC58E7">
        <w:rPr>
          <w:rFonts w:ascii="Times New Roman" w:eastAsia="Calibri" w:hAnsi="Times New Roman"/>
          <w:kern w:val="1"/>
          <w:sz w:val="24"/>
        </w:rPr>
        <w:t>. Available at: http://</w:t>
      </w:r>
      <w:r w:rsidRPr="00AC58E7">
        <w:rPr>
          <w:rFonts w:ascii="Times New Roman" w:eastAsia="Calibri" w:hAnsi="Times New Roman" w:cs="Trebuchet MS"/>
          <w:sz w:val="24"/>
          <w:szCs w:val="32"/>
        </w:rPr>
        <w:t>oikos-international.org/programmes/curricula-change/cases-program/ (accessed 13 December 13 2014).</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16"/>
        </w:rPr>
      </w:pPr>
      <w:r w:rsidRPr="00AC58E7">
        <w:rPr>
          <w:rFonts w:ascii="Times New Roman" w:hAnsi="Times New Roman" w:cs="Times New Roman"/>
          <w:color w:val="auto"/>
          <w:sz w:val="24"/>
          <w:szCs w:val="24"/>
        </w:rPr>
        <w:t>Rouleau, L. (2005). ‘Micro</w:t>
      </w:r>
      <w:r w:rsidRPr="00AC58E7">
        <w:rPr>
          <w:rFonts w:ascii="Times New Roman" w:hAnsi="Times New Roman" w:cs="Menlo Regular"/>
          <w:color w:val="auto"/>
          <w:sz w:val="24"/>
          <w:szCs w:val="24"/>
        </w:rPr>
        <w:t>-</w:t>
      </w:r>
      <w:r w:rsidRPr="00AC58E7">
        <w:rPr>
          <w:rFonts w:ascii="Times New Roman" w:hAnsi="Times New Roman" w:cs="Times New Roman"/>
          <w:color w:val="auto"/>
          <w:sz w:val="24"/>
          <w:szCs w:val="24"/>
        </w:rPr>
        <w:t xml:space="preserve">practices of strategic sensemaking and sensegiving: How middle managers interpret and sell change every day’. </w:t>
      </w:r>
      <w:r w:rsidRPr="00AC58E7">
        <w:rPr>
          <w:rFonts w:ascii="Times New Roman" w:hAnsi="Times New Roman" w:cs="Times New Roman"/>
          <w:i/>
          <w:iCs/>
          <w:color w:val="auto"/>
          <w:sz w:val="24"/>
          <w:szCs w:val="24"/>
        </w:rPr>
        <w:t>Journal of Management Studies</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42</w:t>
      </w:r>
      <w:r w:rsidRPr="00AC58E7">
        <w:rPr>
          <w:rFonts w:ascii="Times New Roman" w:hAnsi="Times New Roman" w:cs="Times New Roman"/>
          <w:b/>
          <w:color w:val="auto"/>
          <w:sz w:val="24"/>
          <w:szCs w:val="24"/>
        </w:rPr>
        <w:t>,</w:t>
      </w:r>
      <w:r w:rsidRPr="00AC58E7">
        <w:rPr>
          <w:rFonts w:ascii="Times New Roman" w:hAnsi="Times New Roman" w:cs="Times New Roman"/>
          <w:color w:val="auto"/>
          <w:sz w:val="24"/>
          <w:szCs w:val="24"/>
        </w:rPr>
        <w:t xml:space="preserve"> 1413</w:t>
      </w:r>
      <w:r w:rsidRPr="00AC58E7">
        <w:rPr>
          <w:rFonts w:ascii="Times New Roman" w:eastAsia="Calibri" w:hAnsi="Times New Roman"/>
          <w:sz w:val="24"/>
        </w:rPr>
        <w:t>–</w:t>
      </w:r>
      <w:r w:rsidRPr="00AC58E7">
        <w:rPr>
          <w:rFonts w:ascii="Times New Roman" w:hAnsi="Times New Roman" w:cs="Times New Roman"/>
          <w:color w:val="auto"/>
          <w:sz w:val="24"/>
          <w:szCs w:val="24"/>
        </w:rPr>
        <w:t>1441.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Rouleau, L. and Balogun, J. (2011). ‘Middle managers, strategic sensemaking, and discursive competence’.</w:t>
      </w:r>
      <w:r>
        <w:rPr>
          <w:rFonts w:ascii="Times New Roman" w:eastAsia="Calibri" w:hAnsi="Times New Roman"/>
          <w:sz w:val="24"/>
        </w:rPr>
        <w:t xml:space="preserve"> </w:t>
      </w:r>
      <w:r w:rsidRPr="00AC58E7">
        <w:rPr>
          <w:rFonts w:ascii="Times New Roman" w:eastAsia="Calibri" w:hAnsi="Times New Roman"/>
          <w:i/>
          <w:iCs/>
          <w:sz w:val="24"/>
        </w:rPr>
        <w:t>Journal of Management Studies</w:t>
      </w:r>
      <w:r w:rsidRPr="00AC58E7">
        <w:rPr>
          <w:rFonts w:ascii="Times New Roman" w:eastAsia="Calibri" w:hAnsi="Times New Roman"/>
          <w:sz w:val="24"/>
        </w:rPr>
        <w:t xml:space="preserve">, </w:t>
      </w:r>
      <w:r w:rsidRPr="00AC58E7">
        <w:rPr>
          <w:rFonts w:ascii="Times New Roman" w:eastAsia="Calibri" w:hAnsi="Times New Roman"/>
          <w:b/>
          <w:iCs/>
          <w:sz w:val="24"/>
        </w:rPr>
        <w:t>48</w:t>
      </w:r>
      <w:r w:rsidRPr="00AC58E7">
        <w:rPr>
          <w:rFonts w:ascii="Times New Roman" w:eastAsia="Calibri" w:hAnsi="Times New Roman"/>
          <w:sz w:val="24"/>
        </w:rPr>
        <w:t>, 953–983.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Santos, F. M. (2012). ‘A positive theory of social entrepreneurship’.</w:t>
      </w:r>
      <w:r>
        <w:rPr>
          <w:rFonts w:ascii="Times New Roman" w:eastAsia="Calibri" w:hAnsi="Times New Roman"/>
          <w:sz w:val="24"/>
        </w:rPr>
        <w:t xml:space="preserve"> </w:t>
      </w:r>
      <w:r w:rsidRPr="00AC58E7">
        <w:rPr>
          <w:rFonts w:ascii="Times New Roman" w:eastAsia="Calibri" w:hAnsi="Times New Roman"/>
          <w:i/>
          <w:iCs/>
          <w:sz w:val="24"/>
        </w:rPr>
        <w:t>Journal of Business Ethics</w:t>
      </w:r>
      <w:r w:rsidRPr="00AC58E7">
        <w:rPr>
          <w:rFonts w:ascii="Times New Roman" w:eastAsia="Calibri" w:hAnsi="Times New Roman"/>
          <w:sz w:val="24"/>
        </w:rPr>
        <w:t xml:space="preserve">, </w:t>
      </w:r>
      <w:r w:rsidRPr="00AC58E7">
        <w:rPr>
          <w:rFonts w:ascii="Times New Roman" w:eastAsia="Calibri" w:hAnsi="Times New Roman"/>
          <w:b/>
          <w:iCs/>
          <w:sz w:val="24"/>
        </w:rPr>
        <w:t>111</w:t>
      </w:r>
      <w:r w:rsidRPr="00AC58E7">
        <w:rPr>
          <w:rFonts w:ascii="Times New Roman" w:eastAsia="Calibri" w:hAnsi="Times New Roman"/>
          <w:sz w:val="24"/>
        </w:rPr>
        <w:t>, 335–351.</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Schultz, M. and Hinings, B. (2011). ‘A comment at the border between institutional and organizational culture theories’. </w:t>
      </w:r>
      <w:r w:rsidRPr="00AC58E7">
        <w:rPr>
          <w:rFonts w:ascii="Times New Roman" w:hAnsi="Times New Roman" w:cs="Times New Roman"/>
          <w:i/>
          <w:iCs/>
          <w:color w:val="auto"/>
          <w:sz w:val="24"/>
          <w:szCs w:val="24"/>
        </w:rPr>
        <w:t>Journal of Management Inquiry</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21,</w:t>
      </w:r>
      <w:r w:rsidRPr="00AC58E7">
        <w:rPr>
          <w:rFonts w:ascii="Times New Roman" w:hAnsi="Times New Roman" w:cs="Times New Roman"/>
          <w:color w:val="auto"/>
          <w:sz w:val="24"/>
          <w:szCs w:val="24"/>
        </w:rPr>
        <w:t xml:space="preserve"> 107–108.</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Scully, M., and Segal, A. (2002). ‘Passion with an umbrella: Grassroots activists in the workplace’. In Lounsbury, M. and Ventresca, M. (Eds), </w:t>
      </w:r>
      <w:r w:rsidRPr="00AC58E7">
        <w:rPr>
          <w:rFonts w:ascii="Times New Roman" w:hAnsi="Times New Roman" w:cs="Times New Roman"/>
          <w:i/>
          <w:color w:val="auto"/>
          <w:sz w:val="24"/>
          <w:szCs w:val="24"/>
        </w:rPr>
        <w:t>Social structure and organizations revised</w:t>
      </w:r>
      <w:r>
        <w:rPr>
          <w:rFonts w:ascii="Times New Roman" w:hAnsi="Times New Roman" w:cs="Times New Roman"/>
          <w:color w:val="auto"/>
          <w:sz w:val="24"/>
          <w:szCs w:val="24"/>
        </w:rPr>
        <w:t xml:space="preserve">. </w:t>
      </w:r>
      <w:r w:rsidRPr="00AC58E7">
        <w:rPr>
          <w:rFonts w:ascii="Times New Roman" w:hAnsi="Times New Roman" w:cs="Times New Roman"/>
          <w:color w:val="auto"/>
          <w:sz w:val="24"/>
          <w:szCs w:val="24"/>
        </w:rPr>
        <w:t xml:space="preserve">Oxford, UK: Elsevier, </w:t>
      </w:r>
      <w:r w:rsidRPr="00AC58E7">
        <w:rPr>
          <w:rFonts w:ascii="Times New Roman" w:hAnsi="Times New Roman" w:cs="Times New Roman"/>
          <w:b/>
          <w:color w:val="auto"/>
          <w:sz w:val="24"/>
          <w:szCs w:val="24"/>
        </w:rPr>
        <w:t>19</w:t>
      </w:r>
      <w:r w:rsidRPr="00AC58E7">
        <w:rPr>
          <w:rFonts w:ascii="Times New Roman" w:hAnsi="Times New Roman" w:cs="Times New Roman"/>
          <w:color w:val="auto"/>
          <w:sz w:val="24"/>
          <w:szCs w:val="24"/>
        </w:rPr>
        <w:t>: 125–168.</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Sharma, G., and Good, D. (2013). ‘The work of middle managers sensemaking and sensegiving for creating positive social change’. </w:t>
      </w:r>
      <w:r w:rsidRPr="00AC58E7">
        <w:rPr>
          <w:rFonts w:ascii="Times New Roman" w:hAnsi="Times New Roman" w:cs="Times New Roman"/>
          <w:i/>
          <w:color w:val="auto"/>
          <w:sz w:val="24"/>
          <w:szCs w:val="24"/>
        </w:rPr>
        <w:t>The Journal of Applied Behavioral Science</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49</w:t>
      </w:r>
      <w:r w:rsidRPr="00AC58E7">
        <w:rPr>
          <w:rFonts w:ascii="Times New Roman" w:hAnsi="Times New Roman" w:cs="Times New Roman"/>
          <w:color w:val="auto"/>
          <w:sz w:val="24"/>
          <w:szCs w:val="24"/>
        </w:rPr>
        <w:t>, 95–122.</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Simpson, G. (2012). </w:t>
      </w:r>
      <w:r w:rsidRPr="00AC58E7">
        <w:rPr>
          <w:rFonts w:ascii="Times New Roman" w:hAnsi="Times New Roman" w:cs="Times New Roman"/>
          <w:i/>
          <w:color w:val="auto"/>
          <w:sz w:val="24"/>
          <w:szCs w:val="24"/>
        </w:rPr>
        <w:t>Low Cost Diagnostics for Africa</w:t>
      </w:r>
      <w:r w:rsidRPr="00AC58E7">
        <w:rPr>
          <w:rFonts w:ascii="Times New Roman" w:hAnsi="Times New Roman" w:cs="Times New Roman"/>
          <w:color w:val="auto"/>
          <w:sz w:val="24"/>
          <w:szCs w:val="24"/>
        </w:rPr>
        <w:t>. Available at: https://www.changemakers.com/intrapreneurs/entries/low-cost-diagnostics-africa (accessed 14 November 2015).</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Smets, M., Jarzabkowski, P., Burke, G. T. and Spee, P. (2015). ‘Reinsurance trading in Lloyd's of London: Balancing conflicting-yet-complementary logics in practice’. </w:t>
      </w:r>
      <w:r w:rsidRPr="00AC58E7">
        <w:rPr>
          <w:rFonts w:ascii="Times New Roman" w:hAnsi="Times New Roman" w:cs="Times New Roman"/>
          <w:i/>
          <w:iCs/>
          <w:color w:val="auto"/>
          <w:sz w:val="24"/>
          <w:szCs w:val="24"/>
        </w:rPr>
        <w:t>Academy of Management Journal</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58,</w:t>
      </w:r>
      <w:r w:rsidRPr="00AC58E7">
        <w:rPr>
          <w:rFonts w:ascii="Times New Roman" w:hAnsi="Times New Roman" w:cs="Times New Roman"/>
          <w:color w:val="auto"/>
          <w:sz w:val="24"/>
          <w:szCs w:val="24"/>
        </w:rPr>
        <w:t xml:space="preserve"> 932–970.</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Smith, W. K., Gonin, M. and Besharov, M. L. (2013). ‘Managing social-business tensions: A review and research agenda for social enterprise’. </w:t>
      </w:r>
      <w:r w:rsidRPr="00AC58E7">
        <w:rPr>
          <w:rFonts w:ascii="Times New Roman" w:hAnsi="Times New Roman" w:cs="Times New Roman"/>
          <w:i/>
          <w:iCs/>
          <w:color w:val="auto"/>
          <w:sz w:val="24"/>
          <w:szCs w:val="24"/>
        </w:rPr>
        <w:t>Business Ethics Quarterly</w:t>
      </w:r>
      <w:r w:rsidRPr="00AC58E7">
        <w:rPr>
          <w:rFonts w:ascii="Times New Roman" w:hAnsi="Times New Roman" w:cs="Times New Roman"/>
          <w:color w:val="auto"/>
          <w:sz w:val="24"/>
          <w:szCs w:val="24"/>
        </w:rPr>
        <w:t xml:space="preserve">, </w:t>
      </w:r>
      <w:r w:rsidRPr="00AC58E7">
        <w:rPr>
          <w:rFonts w:ascii="Times New Roman" w:hAnsi="Times New Roman" w:cs="Times New Roman"/>
          <w:b/>
          <w:iCs/>
          <w:color w:val="auto"/>
          <w:sz w:val="24"/>
          <w:szCs w:val="24"/>
        </w:rPr>
        <w:t>23</w:t>
      </w:r>
      <w:r w:rsidRPr="00AC58E7">
        <w:rPr>
          <w:rFonts w:ascii="Times New Roman" w:hAnsi="Times New Roman" w:cs="Times New Roman"/>
          <w:b/>
          <w:color w:val="auto"/>
          <w:sz w:val="24"/>
          <w:szCs w:val="24"/>
        </w:rPr>
        <w:t>,</w:t>
      </w:r>
      <w:r>
        <w:rPr>
          <w:rFonts w:ascii="Times New Roman" w:hAnsi="Times New Roman" w:cs="Times New Roman"/>
          <w:color w:val="auto"/>
          <w:sz w:val="24"/>
          <w:szCs w:val="24"/>
        </w:rPr>
        <w:t xml:space="preserve"> 407</w:t>
      </w:r>
      <w:r w:rsidRPr="00AC58E7">
        <w:rPr>
          <w:rFonts w:ascii="Times New Roman" w:eastAsia="Calibri" w:hAnsi="Times New Roman"/>
          <w:sz w:val="24"/>
        </w:rPr>
        <w:t>–</w:t>
      </w:r>
      <w:r w:rsidRPr="00AC58E7">
        <w:rPr>
          <w:rFonts w:ascii="Times New Roman" w:hAnsi="Times New Roman" w:cs="Times New Roman"/>
          <w:color w:val="auto"/>
          <w:sz w:val="24"/>
          <w:szCs w:val="24"/>
        </w:rPr>
        <w:t>442.</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Smith, W. K. and Lewis, M. W. (2011). ‘Toward a theory of paradox: A dynamic equilibrium model of organizing’. </w:t>
      </w:r>
      <w:r w:rsidRPr="00AC58E7">
        <w:rPr>
          <w:rFonts w:ascii="Times New Roman" w:eastAsia="Calibri" w:hAnsi="Times New Roman"/>
          <w:i/>
          <w:iCs/>
          <w:sz w:val="24"/>
        </w:rPr>
        <w:t>Academy of Management Review</w:t>
      </w:r>
      <w:r w:rsidRPr="00AC58E7">
        <w:rPr>
          <w:rFonts w:ascii="Times New Roman" w:eastAsia="Calibri" w:hAnsi="Times New Roman"/>
          <w:sz w:val="24"/>
        </w:rPr>
        <w:t xml:space="preserve">, </w:t>
      </w:r>
      <w:r w:rsidRPr="00AC58E7">
        <w:rPr>
          <w:rFonts w:ascii="Times New Roman" w:eastAsia="Calibri" w:hAnsi="Times New Roman"/>
          <w:b/>
          <w:iCs/>
          <w:sz w:val="24"/>
        </w:rPr>
        <w:t>36</w:t>
      </w:r>
      <w:r w:rsidRPr="00AC58E7">
        <w:rPr>
          <w:rFonts w:ascii="Times New Roman" w:eastAsia="Calibri" w:hAnsi="Times New Roman"/>
          <w:sz w:val="24"/>
        </w:rPr>
        <w:t>, 381–403.</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Snow, D. A. and Benford, R. D. (1988). ‘Ideology, frame resonance, and participant mobilization’. </w:t>
      </w:r>
      <w:r w:rsidRPr="00AC58E7">
        <w:rPr>
          <w:rFonts w:ascii="Times New Roman" w:eastAsia="Calibri" w:hAnsi="Times New Roman"/>
          <w:bCs/>
          <w:i/>
          <w:iCs/>
          <w:kern w:val="1"/>
          <w:sz w:val="24"/>
        </w:rPr>
        <w:t>International Social Movement Research</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1</w:t>
      </w:r>
      <w:r w:rsidRPr="00AC58E7">
        <w:rPr>
          <w:rFonts w:ascii="Times New Roman" w:eastAsia="Calibri" w:hAnsi="Times New Roman"/>
          <w:kern w:val="1"/>
          <w:sz w:val="24"/>
        </w:rPr>
        <w:t>, 197–218.</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Snow, D. A. and Benford, R. D. (1992). ‘Master frames and cycles of protest’. In Morris, A. D.  and Mueller. C. M. (Eds.), </w:t>
      </w:r>
      <w:r w:rsidRPr="00AC58E7">
        <w:rPr>
          <w:rFonts w:ascii="Times New Roman" w:eastAsia="Calibri" w:hAnsi="Times New Roman"/>
          <w:bCs/>
          <w:i/>
          <w:iCs/>
          <w:sz w:val="24"/>
        </w:rPr>
        <w:t>Frontiers to Social Movement Theory</w:t>
      </w:r>
      <w:r w:rsidRPr="00AC58E7">
        <w:rPr>
          <w:rFonts w:ascii="Times New Roman" w:eastAsia="Calibri" w:hAnsi="Times New Roman"/>
          <w:sz w:val="24"/>
        </w:rPr>
        <w:t>. New Haven, CT: Yale University Press, 133–155.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Times New Roman" w:hAnsi="Times New Roman" w:cs="Times New Roman"/>
          <w:sz w:val="24"/>
          <w:szCs w:val="24"/>
          <w:lang w:eastAsia="en-GB"/>
        </w:rPr>
        <w:t>Snow, D., Benford, R., McCammon, H., Hewitt, L. and Fitzgerald, S. (2014). ‘The emergence, development, and future of the framing perspective: 25+ years since “frame alignment”’. </w:t>
      </w:r>
      <w:r w:rsidRPr="00AC58E7">
        <w:rPr>
          <w:rFonts w:ascii="Times New Roman" w:eastAsia="Times New Roman" w:hAnsi="Times New Roman" w:cs="Times New Roman"/>
          <w:i/>
          <w:iCs/>
          <w:sz w:val="24"/>
          <w:szCs w:val="24"/>
          <w:lang w:eastAsia="en-GB"/>
        </w:rPr>
        <w:t>Mobilization: An International Quarterly</w:t>
      </w:r>
      <w:r w:rsidRPr="00AC58E7">
        <w:rPr>
          <w:rFonts w:ascii="Times New Roman" w:eastAsia="Times New Roman" w:hAnsi="Times New Roman" w:cs="Times New Roman"/>
          <w:sz w:val="24"/>
          <w:szCs w:val="24"/>
          <w:lang w:eastAsia="en-GB"/>
        </w:rPr>
        <w:t>, </w:t>
      </w:r>
      <w:r w:rsidRPr="00AC58E7">
        <w:rPr>
          <w:rFonts w:ascii="Times New Roman" w:eastAsia="Times New Roman" w:hAnsi="Times New Roman" w:cs="Times New Roman"/>
          <w:b/>
          <w:iCs/>
          <w:sz w:val="24"/>
          <w:szCs w:val="24"/>
          <w:lang w:eastAsia="en-GB"/>
        </w:rPr>
        <w:t>19</w:t>
      </w:r>
      <w:r w:rsidRPr="00AC58E7">
        <w:rPr>
          <w:rFonts w:ascii="Times New Roman" w:eastAsia="Times New Roman" w:hAnsi="Times New Roman" w:cs="Times New Roman"/>
          <w:sz w:val="24"/>
          <w:szCs w:val="24"/>
          <w:lang w:eastAsia="en-GB"/>
        </w:rPr>
        <w:t>, 23–46.</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Snow, D. A., Rochford Jr, E. B., Worden, S. K. and Benford, R. D. (1986). ‘Frame alignment processes, micromobilization, and movement participation’. </w:t>
      </w:r>
      <w:r w:rsidRPr="00AC58E7">
        <w:rPr>
          <w:rFonts w:ascii="Times New Roman" w:eastAsia="Calibri" w:hAnsi="Times New Roman"/>
          <w:bCs/>
          <w:i/>
          <w:iCs/>
          <w:sz w:val="24"/>
        </w:rPr>
        <w:t>American Sociological Review</w:t>
      </w:r>
      <w:r w:rsidRPr="00AC58E7">
        <w:rPr>
          <w:rFonts w:ascii="Times New Roman" w:eastAsia="Calibri" w:hAnsi="Times New Roman"/>
          <w:sz w:val="24"/>
        </w:rPr>
        <w:t xml:space="preserve">, </w:t>
      </w:r>
      <w:r w:rsidRPr="00AC58E7">
        <w:rPr>
          <w:rFonts w:ascii="Times New Roman" w:eastAsia="Calibri" w:hAnsi="Times New Roman"/>
          <w:b/>
          <w:sz w:val="24"/>
        </w:rPr>
        <w:t>51</w:t>
      </w:r>
      <w:r w:rsidRPr="00AC58E7">
        <w:rPr>
          <w:rFonts w:ascii="Times New Roman" w:eastAsia="Calibri" w:hAnsi="Times New Roman"/>
          <w:sz w:val="24"/>
        </w:rPr>
        <w:t>, 464–481.</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kern w:val="1"/>
          <w:sz w:val="24"/>
        </w:rPr>
        <w:t xml:space="preserve">Sonenshein, S. (2006). ‘Crafting social issues at work’. </w:t>
      </w:r>
      <w:r w:rsidRPr="00AC58E7">
        <w:rPr>
          <w:rFonts w:ascii="Times New Roman" w:eastAsia="Calibri" w:hAnsi="Times New Roman"/>
          <w:bCs/>
          <w:i/>
          <w:iCs/>
          <w:kern w:val="1"/>
          <w:sz w:val="24"/>
        </w:rPr>
        <w:t>Academy of Management Journal</w:t>
      </w:r>
      <w:r w:rsidRPr="00AC58E7">
        <w:rPr>
          <w:rFonts w:ascii="Times New Roman" w:eastAsia="Calibri" w:hAnsi="Times New Roman"/>
          <w:kern w:val="1"/>
          <w:sz w:val="24"/>
        </w:rPr>
        <w:t xml:space="preserve">, </w:t>
      </w:r>
      <w:r w:rsidRPr="00AC58E7">
        <w:rPr>
          <w:rFonts w:ascii="Times New Roman" w:eastAsia="Calibri" w:hAnsi="Times New Roman"/>
          <w:b/>
          <w:kern w:val="1"/>
          <w:sz w:val="24"/>
        </w:rPr>
        <w:t>49</w:t>
      </w:r>
      <w:r w:rsidRPr="00AC58E7">
        <w:rPr>
          <w:rFonts w:ascii="Times New Roman" w:eastAsia="Calibri" w:hAnsi="Times New Roman"/>
          <w:kern w:val="1"/>
          <w:sz w:val="24"/>
        </w:rPr>
        <w:t>, 1158–1172.</w:t>
      </w:r>
    </w:p>
    <w:p w:rsidR="00FF2A8D" w:rsidRPr="00AC58E7" w:rsidRDefault="00720C60" w:rsidP="00FF2A8D">
      <w:pPr>
        <w:autoSpaceDE w:val="0"/>
        <w:autoSpaceDN w:val="0"/>
        <w:adjustRightInd w:val="0"/>
        <w:spacing w:line="480" w:lineRule="auto"/>
        <w:ind w:left="397" w:hanging="397"/>
        <w:rPr>
          <w:rFonts w:ascii="Times New Roman" w:hAnsi="Times New Roman" w:cs="Times New Roman"/>
          <w:color w:val="auto"/>
          <w:sz w:val="24"/>
          <w:szCs w:val="24"/>
        </w:rPr>
      </w:pPr>
      <w:r>
        <w:rPr>
          <w:rFonts w:ascii="Times New Roman" w:hAnsi="Times New Roman" w:cs="Times New Roman"/>
          <w:color w:val="auto"/>
          <w:sz w:val="24"/>
          <w:szCs w:val="24"/>
        </w:rPr>
        <w:t xml:space="preserve">Sonenshein, S. (2010). ‘We’re changing – </w:t>
      </w:r>
      <w:r w:rsidR="00FF2A8D" w:rsidRPr="00AC58E7">
        <w:rPr>
          <w:rFonts w:ascii="Times New Roman" w:hAnsi="Times New Roman" w:cs="Times New Roman"/>
          <w:color w:val="auto"/>
          <w:sz w:val="24"/>
          <w:szCs w:val="24"/>
        </w:rPr>
        <w:t xml:space="preserve">or are we? Untangling the role of progressive, regressive, and stability narratives during strategic change implementation’. </w:t>
      </w:r>
      <w:r w:rsidR="00FF2A8D" w:rsidRPr="00AC58E7">
        <w:rPr>
          <w:rFonts w:ascii="Times New Roman" w:hAnsi="Times New Roman" w:cs="Times New Roman"/>
          <w:i/>
          <w:color w:val="auto"/>
          <w:sz w:val="24"/>
          <w:szCs w:val="24"/>
        </w:rPr>
        <w:t>Academy of Management Journal,</w:t>
      </w:r>
      <w:r w:rsidR="00FF2A8D" w:rsidRPr="00AC58E7">
        <w:rPr>
          <w:rFonts w:ascii="Times New Roman" w:hAnsi="Times New Roman" w:cs="Times New Roman"/>
          <w:color w:val="auto"/>
          <w:sz w:val="24"/>
          <w:szCs w:val="24"/>
        </w:rPr>
        <w:t xml:space="preserve"> </w:t>
      </w:r>
      <w:r w:rsidR="00FF2A8D" w:rsidRPr="00AC58E7">
        <w:rPr>
          <w:rFonts w:ascii="Times New Roman" w:hAnsi="Times New Roman" w:cs="Times New Roman"/>
          <w:b/>
          <w:color w:val="auto"/>
          <w:sz w:val="24"/>
          <w:szCs w:val="24"/>
        </w:rPr>
        <w:t>53,</w:t>
      </w:r>
      <w:r w:rsidR="00FF2A8D">
        <w:rPr>
          <w:rFonts w:ascii="Times New Roman" w:hAnsi="Times New Roman" w:cs="Times New Roman"/>
          <w:color w:val="auto"/>
          <w:sz w:val="24"/>
          <w:szCs w:val="24"/>
        </w:rPr>
        <w:t xml:space="preserve"> 477</w:t>
      </w:r>
      <w:r w:rsidR="00FF2A8D" w:rsidRPr="00AC58E7">
        <w:rPr>
          <w:rFonts w:ascii="Times New Roman" w:eastAsia="Calibri" w:hAnsi="Times New Roman"/>
          <w:sz w:val="24"/>
        </w:rPr>
        <w:t>–</w:t>
      </w:r>
      <w:r w:rsidR="00FF2A8D" w:rsidRPr="00AC58E7">
        <w:rPr>
          <w:rFonts w:ascii="Times New Roman" w:hAnsi="Times New Roman" w:cs="Times New Roman"/>
          <w:color w:val="auto"/>
          <w:sz w:val="24"/>
          <w:szCs w:val="24"/>
        </w:rPr>
        <w:t>512.</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kern w:val="1"/>
          <w:sz w:val="24"/>
        </w:rPr>
        <w:t xml:space="preserve">Sonenshein, S. (2012). ‘Being a positive social change agent through issue selling’. In Golden-Biddle, K. and Dutton, J. (Eds.), </w:t>
      </w:r>
      <w:r w:rsidRPr="00AC58E7">
        <w:rPr>
          <w:rFonts w:ascii="Times New Roman" w:eastAsia="Calibri" w:hAnsi="Times New Roman"/>
          <w:bCs/>
          <w:i/>
          <w:iCs/>
          <w:kern w:val="1"/>
          <w:sz w:val="24"/>
        </w:rPr>
        <w:t>Using a Positive Lens to Explore Social Change and Organizations: Building a Theoretical and Research Foundation</w:t>
      </w:r>
      <w:r w:rsidRPr="00AC58E7">
        <w:rPr>
          <w:rFonts w:ascii="Times New Roman" w:eastAsia="Calibri" w:hAnsi="Times New Roman"/>
          <w:kern w:val="1"/>
          <w:sz w:val="24"/>
        </w:rPr>
        <w:t xml:space="preserve">. New York, NY: Routledge, 49–70. </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Sonenshein, S., DeCelles, K. and Dutton, J. (2014). ‘It's not easy being green: The role of self-evaluations in explaining support of environmental issues’. </w:t>
      </w:r>
      <w:r w:rsidRPr="00AC58E7">
        <w:rPr>
          <w:rFonts w:ascii="Times New Roman" w:eastAsia="Calibri" w:hAnsi="Times New Roman"/>
          <w:i/>
          <w:iCs/>
          <w:sz w:val="24"/>
        </w:rPr>
        <w:t>Academy of Management Journal</w:t>
      </w:r>
      <w:r w:rsidRPr="00AC58E7">
        <w:rPr>
          <w:rFonts w:ascii="Times New Roman" w:eastAsia="Calibri" w:hAnsi="Times New Roman"/>
          <w:sz w:val="24"/>
        </w:rPr>
        <w:t xml:space="preserve">, </w:t>
      </w:r>
      <w:r w:rsidRPr="00AC58E7">
        <w:rPr>
          <w:rFonts w:ascii="Times New Roman" w:eastAsia="Calibri" w:hAnsi="Times New Roman"/>
          <w:b/>
          <w:sz w:val="24"/>
        </w:rPr>
        <w:t>57</w:t>
      </w:r>
      <w:r w:rsidRPr="00AC58E7">
        <w:rPr>
          <w:rFonts w:ascii="Times New Roman" w:eastAsia="Calibri" w:hAnsi="Times New Roman"/>
          <w:sz w:val="24"/>
        </w:rPr>
        <w:t>, 7–37.</w:t>
      </w:r>
    </w:p>
    <w:p w:rsidR="00FF2A8D" w:rsidRPr="00AC58E7" w:rsidRDefault="00FF2A8D" w:rsidP="00FF2A8D">
      <w:pPr>
        <w:autoSpaceDE w:val="0"/>
        <w:autoSpaceDN w:val="0"/>
        <w:adjustRightInd w:val="0"/>
        <w:spacing w:line="480" w:lineRule="auto"/>
        <w:ind w:left="397" w:hanging="397"/>
        <w:rPr>
          <w:rFonts w:ascii="Times New Roman" w:eastAsia="Calibri" w:hAnsi="Times New Roman" w:cs="Times New Roman"/>
          <w:sz w:val="24"/>
          <w:szCs w:val="14"/>
          <w:shd w:val="clear" w:color="auto" w:fill="FFFFFF"/>
        </w:rPr>
      </w:pPr>
      <w:r w:rsidRPr="00AC58E7">
        <w:rPr>
          <w:rFonts w:ascii="Times New Roman" w:eastAsia="Calibri" w:hAnsi="Times New Roman"/>
          <w:sz w:val="24"/>
        </w:rPr>
        <w:t>Sonenshein, S. (2014)</w:t>
      </w:r>
      <w:r w:rsidRPr="00AC58E7">
        <w:rPr>
          <w:rFonts w:ascii="Times New Roman" w:eastAsia="Calibri" w:hAnsi="Times New Roman"/>
          <w:color w:val="auto"/>
          <w:sz w:val="24"/>
        </w:rPr>
        <w:t xml:space="preserve">. ‘How </w:t>
      </w:r>
      <w:r w:rsidRPr="00AC58E7">
        <w:rPr>
          <w:rFonts w:ascii="Times New Roman" w:eastAsia="Calibri" w:hAnsi="Times New Roman"/>
          <w:sz w:val="24"/>
        </w:rPr>
        <w:t>corporations overcome issue illegitimacy and issue equivocality to address social welfare: The role of the social change agent’</w:t>
      </w:r>
      <w:r w:rsidRPr="00AC58E7">
        <w:rPr>
          <w:rFonts w:ascii="Times New Roman" w:eastAsia="Calibri" w:hAnsi="Times New Roman"/>
          <w:color w:val="auto"/>
          <w:sz w:val="24"/>
        </w:rPr>
        <w:t xml:space="preserve">. </w:t>
      </w:r>
      <w:r w:rsidRPr="00AC58E7">
        <w:rPr>
          <w:rFonts w:ascii="Times New Roman" w:eastAsia="Calibri" w:hAnsi="Times New Roman"/>
          <w:i/>
          <w:iCs/>
          <w:color w:val="auto"/>
          <w:sz w:val="24"/>
        </w:rPr>
        <w:t>Academy of Management Review</w:t>
      </w:r>
      <w:r w:rsidRPr="00AC58E7">
        <w:rPr>
          <w:rFonts w:ascii="Times New Roman" w:eastAsia="Calibri" w:hAnsi="Times New Roman"/>
          <w:color w:val="auto"/>
          <w:sz w:val="24"/>
        </w:rPr>
        <w:t xml:space="preserve">, </w:t>
      </w:r>
      <w:r w:rsidRPr="00AC58E7">
        <w:rPr>
          <w:rFonts w:ascii="Times New Roman" w:eastAsia="Calibri" w:hAnsi="Times New Roman" w:cs="Times New Roman"/>
          <w:color w:val="auto"/>
          <w:sz w:val="24"/>
        </w:rPr>
        <w:t xml:space="preserve">doi: </w:t>
      </w:r>
      <w:r w:rsidRPr="00AC58E7">
        <w:rPr>
          <w:rFonts w:ascii="Times New Roman" w:eastAsia="Calibri" w:hAnsi="Times New Roman" w:cs="Times New Roman"/>
          <w:color w:val="auto"/>
          <w:sz w:val="24"/>
          <w:szCs w:val="14"/>
          <w:shd w:val="clear" w:color="auto" w:fill="FFFFFF"/>
        </w:rPr>
        <w:t>10.5465/amr.2013.0425</w:t>
      </w:r>
      <w:r w:rsidRPr="00AC58E7">
        <w:rPr>
          <w:rFonts w:ascii="Times New Roman" w:eastAsia="Calibri" w:hAnsi="Times New Roman" w:cs="Times New Roman"/>
          <w:sz w:val="24"/>
          <w:szCs w:val="14"/>
          <w:shd w:val="clear" w:color="auto" w:fill="FFFFFF"/>
        </w:rPr>
        <w:t>.</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Spector, M. and Kitsuse, J. I. (1987). </w:t>
      </w:r>
      <w:r w:rsidRPr="00AC58E7">
        <w:rPr>
          <w:rFonts w:ascii="Times New Roman" w:hAnsi="Times New Roman" w:cs="Times New Roman"/>
          <w:i/>
          <w:color w:val="auto"/>
          <w:sz w:val="24"/>
          <w:szCs w:val="24"/>
        </w:rPr>
        <w:t>Constructing Social Problems</w:t>
      </w:r>
      <w:r w:rsidRPr="00AC58E7">
        <w:rPr>
          <w:rFonts w:ascii="Times New Roman" w:hAnsi="Times New Roman" w:cs="Times New Roman"/>
          <w:color w:val="auto"/>
          <w:sz w:val="24"/>
          <w:szCs w:val="24"/>
        </w:rPr>
        <w:t>. Hawthorne, NY: Aldine de Gruyter.</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Spicer, A. and Sewell, G. (2010). ‘From national service to global player: Transforming the organizational logic of a public broadcaster’. </w:t>
      </w:r>
      <w:r w:rsidRPr="00AC58E7">
        <w:rPr>
          <w:rFonts w:ascii="Times New Roman" w:eastAsia="Calibri" w:hAnsi="Times New Roman"/>
          <w:i/>
          <w:iCs/>
          <w:sz w:val="24"/>
        </w:rPr>
        <w:t>Journal of Management Studies</w:t>
      </w:r>
      <w:r w:rsidRPr="00AC58E7">
        <w:rPr>
          <w:rFonts w:ascii="Times New Roman" w:eastAsia="Calibri" w:hAnsi="Times New Roman"/>
          <w:sz w:val="24"/>
        </w:rPr>
        <w:t xml:space="preserve">, </w:t>
      </w:r>
      <w:r w:rsidRPr="00AC58E7">
        <w:rPr>
          <w:rFonts w:ascii="Times New Roman" w:eastAsia="Calibri" w:hAnsi="Times New Roman"/>
          <w:b/>
          <w:iCs/>
          <w:sz w:val="24"/>
        </w:rPr>
        <w:t>47</w:t>
      </w:r>
      <w:r w:rsidRPr="00AC58E7">
        <w:rPr>
          <w:rFonts w:ascii="Times New Roman" w:eastAsia="Calibri" w:hAnsi="Times New Roman"/>
          <w:sz w:val="24"/>
        </w:rPr>
        <w:t>, 913–943.</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Suchman, M. C. (1995). ‘Managing legitimacy: Strategic and institutional approaches’. </w:t>
      </w:r>
      <w:r w:rsidRPr="00AC58E7">
        <w:rPr>
          <w:rFonts w:ascii="Times New Roman" w:hAnsi="Times New Roman" w:cs="Times New Roman"/>
          <w:i/>
          <w:color w:val="auto"/>
          <w:sz w:val="24"/>
          <w:szCs w:val="24"/>
        </w:rPr>
        <w:t>Academy of Management Review</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20</w:t>
      </w:r>
      <w:r w:rsidRPr="00AC58E7">
        <w:rPr>
          <w:rFonts w:ascii="Times New Roman" w:hAnsi="Times New Roman" w:cs="Times New Roman"/>
          <w:color w:val="auto"/>
          <w:sz w:val="24"/>
          <w:szCs w:val="24"/>
        </w:rPr>
        <w:t>: 571–610.</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SustainAbility (2008). </w:t>
      </w:r>
      <w:r w:rsidRPr="00AC58E7">
        <w:rPr>
          <w:rFonts w:ascii="Times New Roman" w:hAnsi="Times New Roman" w:cs="Times New Roman"/>
          <w:i/>
          <w:color w:val="auto"/>
          <w:sz w:val="24"/>
          <w:szCs w:val="24"/>
        </w:rPr>
        <w:t xml:space="preserve">The Social Intrapreneur - A Field Guide for Corporate Changemakers. </w:t>
      </w:r>
      <w:r w:rsidRPr="00AC58E7">
        <w:rPr>
          <w:rFonts w:ascii="Times New Roman" w:hAnsi="Times New Roman" w:cs="Times New Roman"/>
          <w:color w:val="auto"/>
          <w:sz w:val="24"/>
          <w:szCs w:val="24"/>
        </w:rPr>
        <w:t>London</w:t>
      </w:r>
      <w:r>
        <w:rPr>
          <w:rFonts w:ascii="Times New Roman" w:hAnsi="Times New Roman" w:cs="Times New Roman"/>
          <w:color w:val="auto"/>
          <w:sz w:val="24"/>
          <w:szCs w:val="24"/>
        </w:rPr>
        <w:t>, UK</w:t>
      </w:r>
      <w:r w:rsidRPr="00AC58E7">
        <w:rPr>
          <w:rFonts w:ascii="Times New Roman" w:hAnsi="Times New Roman" w:cs="Times New Roman"/>
          <w:color w:val="auto"/>
          <w:sz w:val="24"/>
          <w:szCs w:val="24"/>
        </w:rPr>
        <w:t>.</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Swidler, A. (1986). ‘Culture in action: Symbols and strategies’. </w:t>
      </w:r>
      <w:r w:rsidRPr="00AC58E7">
        <w:rPr>
          <w:rFonts w:ascii="Times New Roman" w:hAnsi="Times New Roman" w:cs="Times New Roman"/>
          <w:i/>
          <w:color w:val="auto"/>
          <w:sz w:val="24"/>
          <w:szCs w:val="24"/>
        </w:rPr>
        <w:t xml:space="preserve">American Sociological Review, </w:t>
      </w:r>
      <w:r w:rsidRPr="00AC58E7">
        <w:rPr>
          <w:rFonts w:ascii="Times New Roman" w:hAnsi="Times New Roman" w:cs="Times New Roman"/>
          <w:b/>
          <w:color w:val="auto"/>
          <w:sz w:val="24"/>
          <w:szCs w:val="24"/>
        </w:rPr>
        <w:t>51,</w:t>
      </w:r>
      <w:r w:rsidRPr="00AC58E7">
        <w:rPr>
          <w:rFonts w:ascii="Times New Roman" w:hAnsi="Times New Roman" w:cs="Times New Roman"/>
          <w:color w:val="auto"/>
          <w:sz w:val="24"/>
          <w:szCs w:val="24"/>
        </w:rPr>
        <w:t xml:space="preserve"> 273–286.</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Tannen, D. (1985). ‘Frames and schemas in interaction’. </w:t>
      </w:r>
      <w:r w:rsidRPr="00AC58E7">
        <w:rPr>
          <w:rFonts w:ascii="Times New Roman" w:hAnsi="Times New Roman" w:cs="Times New Roman"/>
          <w:i/>
          <w:color w:val="auto"/>
          <w:sz w:val="24"/>
          <w:szCs w:val="24"/>
        </w:rPr>
        <w:t>Quaderni di Semantica</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6</w:t>
      </w:r>
      <w:r w:rsidRPr="00AC58E7">
        <w:rPr>
          <w:rFonts w:ascii="Times New Roman" w:hAnsi="Times New Roman" w:cs="Times New Roman"/>
          <w:color w:val="auto"/>
          <w:sz w:val="24"/>
          <w:szCs w:val="24"/>
        </w:rPr>
        <w:t>, 326–335.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eastAsia="Calibri" w:hAnsi="Times New Roman"/>
          <w:spacing w:val="-7"/>
          <w:kern w:val="1"/>
          <w:sz w:val="24"/>
        </w:rPr>
        <w:t xml:space="preserve">TEDx Talks. (2013). </w:t>
      </w:r>
      <w:r w:rsidRPr="00AC58E7">
        <w:rPr>
          <w:rFonts w:ascii="Times New Roman" w:eastAsia="Calibri" w:hAnsi="Times New Roman"/>
          <w:i/>
          <w:iCs/>
          <w:spacing w:val="-7"/>
          <w:kern w:val="1"/>
          <w:sz w:val="24"/>
        </w:rPr>
        <w:t>Be the Change You Want to See in Your Company: Gib Bulloch at Tedxplainpalais</w:t>
      </w:r>
      <w:r w:rsidRPr="00AC58E7">
        <w:rPr>
          <w:rFonts w:ascii="Times New Roman" w:eastAsia="Calibri" w:hAnsi="Times New Roman"/>
          <w:spacing w:val="-7"/>
          <w:kern w:val="1"/>
          <w:sz w:val="24"/>
        </w:rPr>
        <w:t>.</w:t>
      </w:r>
      <w:r w:rsidRPr="00AC58E7">
        <w:rPr>
          <w:rFonts w:ascii="Times New Roman" w:eastAsia="Calibri" w:hAnsi="Times New Roman"/>
          <w:kern w:val="1"/>
          <w:sz w:val="24"/>
        </w:rPr>
        <w:t xml:space="preserve"> Available at: http://www.youtube.com/watch?v=5KYWJdU9Ltw (accessed 15 December 2014).</w:t>
      </w:r>
    </w:p>
    <w:p w:rsidR="00FF2A8D" w:rsidRPr="00AC58E7" w:rsidRDefault="00FF2A8D" w:rsidP="00FF2A8D">
      <w:pPr>
        <w:autoSpaceDE w:val="0"/>
        <w:autoSpaceDN w:val="0"/>
        <w:adjustRightInd w:val="0"/>
        <w:spacing w:line="480" w:lineRule="auto"/>
        <w:ind w:left="397" w:hanging="397"/>
        <w:rPr>
          <w:rFonts w:ascii="Times New Roman" w:eastAsia="Calibri" w:hAnsi="Times New Roman"/>
          <w:kern w:val="1"/>
          <w:sz w:val="24"/>
        </w:rPr>
      </w:pPr>
      <w:r w:rsidRPr="00AC58E7">
        <w:rPr>
          <w:rFonts w:ascii="Times New Roman" w:hAnsi="Times New Roman" w:cs="Times New Roman"/>
          <w:color w:val="auto"/>
          <w:sz w:val="24"/>
          <w:szCs w:val="24"/>
        </w:rPr>
        <w:t xml:space="preserve">Tost, L. P. (2011). ‘An integrative model of legitimacy judgments’. Academy of Management Review, </w:t>
      </w:r>
      <w:r w:rsidRPr="00AC58E7">
        <w:rPr>
          <w:rFonts w:ascii="Times New Roman" w:hAnsi="Times New Roman" w:cs="Times New Roman"/>
          <w:b/>
          <w:color w:val="auto"/>
          <w:sz w:val="24"/>
          <w:szCs w:val="24"/>
        </w:rPr>
        <w:t>36,</w:t>
      </w:r>
      <w:r w:rsidRPr="00AC58E7">
        <w:rPr>
          <w:rFonts w:ascii="Times New Roman" w:hAnsi="Times New Roman" w:cs="Times New Roman"/>
          <w:color w:val="auto"/>
          <w:sz w:val="24"/>
          <w:szCs w:val="24"/>
        </w:rPr>
        <w:t xml:space="preserve"> 686</w:t>
      </w:r>
      <w:r w:rsidRPr="00AC58E7">
        <w:rPr>
          <w:rFonts w:ascii="Times New Roman" w:eastAsia="Calibri" w:hAnsi="Times New Roman"/>
          <w:sz w:val="24"/>
        </w:rPr>
        <w:t>–</w:t>
      </w:r>
      <w:r w:rsidRPr="00AC58E7">
        <w:rPr>
          <w:rFonts w:ascii="Times New Roman" w:hAnsi="Times New Roman" w:cs="Times New Roman"/>
          <w:color w:val="auto"/>
          <w:sz w:val="24"/>
          <w:szCs w:val="24"/>
        </w:rPr>
        <w:t>710.</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van Ginhoven, S. C. (2013). </w:t>
      </w:r>
      <w:r w:rsidRPr="00AC58E7">
        <w:rPr>
          <w:rFonts w:ascii="Times New Roman" w:hAnsi="Times New Roman" w:cs="Times New Roman"/>
          <w:i/>
          <w:color w:val="auto"/>
          <w:sz w:val="24"/>
          <w:szCs w:val="24"/>
        </w:rPr>
        <w:t>Slum Logistics: Mobile Based Addresses for Slum Areas</w:t>
      </w:r>
      <w:r w:rsidRPr="00AC58E7">
        <w:rPr>
          <w:rFonts w:ascii="Times New Roman" w:hAnsi="Times New Roman" w:cs="Times New Roman"/>
          <w:color w:val="auto"/>
          <w:sz w:val="24"/>
          <w:szCs w:val="24"/>
        </w:rPr>
        <w:t>. Available at: https://www.changemakers.com/intrapreneurs/entries/slum-logistics (accessed 14 November 2015).</w:t>
      </w:r>
    </w:p>
    <w:p w:rsidR="00FF2A8D" w:rsidRPr="00AC58E7" w:rsidRDefault="00FF2A8D" w:rsidP="00FF2A8D">
      <w:pPr>
        <w:autoSpaceDE w:val="0"/>
        <w:autoSpaceDN w:val="0"/>
        <w:adjustRightInd w:val="0"/>
        <w:spacing w:line="480" w:lineRule="auto"/>
        <w:ind w:left="397" w:hanging="397"/>
        <w:rPr>
          <w:rFonts w:ascii="Times New Roman" w:eastAsia="Calibri" w:hAnsi="Times New Roman"/>
          <w:sz w:val="24"/>
        </w:rPr>
      </w:pPr>
      <w:r w:rsidRPr="00AC58E7">
        <w:rPr>
          <w:rFonts w:ascii="Times New Roman" w:eastAsia="Calibri" w:hAnsi="Times New Roman"/>
          <w:sz w:val="24"/>
        </w:rPr>
        <w:t xml:space="preserve">Weerawardena, J. and Mort, G. S. (2012). ‘Competitive strategy in socially entrepreneurial nonprofit organizations: Innovation and differentiation’. </w:t>
      </w:r>
      <w:r w:rsidRPr="00AC58E7">
        <w:rPr>
          <w:rFonts w:ascii="Times New Roman" w:eastAsia="Calibri" w:hAnsi="Times New Roman"/>
          <w:i/>
          <w:sz w:val="24"/>
        </w:rPr>
        <w:t>Journal of Public Policy &amp; Marketing</w:t>
      </w:r>
      <w:r w:rsidRPr="00AC58E7">
        <w:rPr>
          <w:rFonts w:ascii="Times New Roman" w:eastAsia="Calibri" w:hAnsi="Times New Roman"/>
          <w:sz w:val="24"/>
        </w:rPr>
        <w:t xml:space="preserve">, </w:t>
      </w:r>
      <w:r w:rsidRPr="00AC58E7">
        <w:rPr>
          <w:rFonts w:ascii="Times New Roman" w:eastAsia="Calibri" w:hAnsi="Times New Roman"/>
          <w:b/>
          <w:sz w:val="24"/>
        </w:rPr>
        <w:t>31</w:t>
      </w:r>
      <w:r w:rsidRPr="00AC58E7">
        <w:rPr>
          <w:rFonts w:ascii="Times New Roman" w:eastAsia="Calibri" w:hAnsi="Times New Roman"/>
          <w:sz w:val="24"/>
        </w:rPr>
        <w:t>, 91–101.</w:t>
      </w:r>
    </w:p>
    <w:p w:rsidR="00FF2A8D" w:rsidRPr="00AC58E7" w:rsidRDefault="00FF2A8D" w:rsidP="00FF2A8D">
      <w:pPr>
        <w:autoSpaceDE w:val="0"/>
        <w:autoSpaceDN w:val="0"/>
        <w:adjustRightInd w:val="0"/>
        <w:spacing w:line="480" w:lineRule="auto"/>
        <w:ind w:left="397" w:hanging="397"/>
        <w:rPr>
          <w:rFonts w:ascii="Times New Roman" w:hAnsi="Times New Roman" w:cs="Times New Roman"/>
          <w:color w:val="auto"/>
          <w:sz w:val="24"/>
          <w:szCs w:val="24"/>
        </w:rPr>
      </w:pPr>
      <w:r w:rsidRPr="00AC58E7">
        <w:rPr>
          <w:rFonts w:ascii="Times New Roman" w:hAnsi="Times New Roman" w:cs="Times New Roman"/>
          <w:color w:val="auto"/>
          <w:sz w:val="24"/>
          <w:szCs w:val="24"/>
        </w:rPr>
        <w:t>Zald, M. N. and Berger, M. A. (1978). ‘Social mov</w:t>
      </w:r>
      <w:r>
        <w:rPr>
          <w:rFonts w:ascii="Times New Roman" w:hAnsi="Times New Roman" w:cs="Times New Roman"/>
          <w:color w:val="auto"/>
          <w:sz w:val="24"/>
          <w:szCs w:val="24"/>
        </w:rPr>
        <w:t>ements in organizations: Coup d’</w:t>
      </w:r>
      <w:r w:rsidRPr="00AC58E7">
        <w:rPr>
          <w:rFonts w:ascii="Times New Roman" w:hAnsi="Times New Roman" w:cs="Times New Roman"/>
          <w:color w:val="auto"/>
          <w:sz w:val="24"/>
          <w:szCs w:val="24"/>
        </w:rPr>
        <w:t xml:space="preserve">etat, insurgency, and mass movements’. </w:t>
      </w:r>
      <w:r w:rsidRPr="00AC58E7">
        <w:rPr>
          <w:rFonts w:ascii="Times New Roman" w:hAnsi="Times New Roman" w:cs="Times New Roman"/>
          <w:i/>
          <w:iCs/>
          <w:color w:val="auto"/>
          <w:sz w:val="24"/>
          <w:szCs w:val="24"/>
        </w:rPr>
        <w:t>American Journal of Sociology</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 xml:space="preserve">83, </w:t>
      </w:r>
      <w:r w:rsidRPr="00AC58E7">
        <w:rPr>
          <w:rFonts w:ascii="Times New Roman" w:hAnsi="Times New Roman" w:cs="Times New Roman"/>
          <w:color w:val="auto"/>
          <w:sz w:val="24"/>
          <w:szCs w:val="24"/>
        </w:rPr>
        <w:t>823</w:t>
      </w:r>
      <w:r w:rsidRPr="00AC58E7">
        <w:rPr>
          <w:rFonts w:ascii="Times New Roman" w:eastAsia="Calibri" w:hAnsi="Times New Roman"/>
          <w:sz w:val="24"/>
        </w:rPr>
        <w:t>–</w:t>
      </w:r>
      <w:r w:rsidRPr="00AC58E7">
        <w:rPr>
          <w:rFonts w:ascii="Times New Roman" w:hAnsi="Times New Roman" w:cs="Times New Roman"/>
          <w:color w:val="auto"/>
          <w:sz w:val="24"/>
          <w:szCs w:val="24"/>
        </w:rPr>
        <w:t>861.</w:t>
      </w:r>
    </w:p>
    <w:p w:rsidR="00FF2A8D" w:rsidRDefault="00FF2A8D" w:rsidP="00FF2A8D">
      <w:pPr>
        <w:spacing w:line="480" w:lineRule="auto"/>
        <w:jc w:val="center"/>
        <w:rPr>
          <w:rFonts w:ascii="Times New Roman" w:hAnsi="Times New Roman" w:cs="Times New Roman"/>
          <w:color w:val="auto"/>
          <w:sz w:val="24"/>
          <w:szCs w:val="24"/>
        </w:rPr>
      </w:pPr>
      <w:r w:rsidRPr="00AC58E7">
        <w:rPr>
          <w:rFonts w:ascii="Times New Roman" w:hAnsi="Times New Roman" w:cs="Times New Roman"/>
          <w:color w:val="auto"/>
          <w:sz w:val="24"/>
          <w:szCs w:val="24"/>
        </w:rPr>
        <w:t xml:space="preserve">Zald, M. N. (2008). ‘Epilogue: Social movements and political sociology in the analysis of organizations and markets’. </w:t>
      </w:r>
      <w:r w:rsidRPr="00AC58E7">
        <w:rPr>
          <w:rFonts w:ascii="Times New Roman" w:hAnsi="Times New Roman" w:cs="Times New Roman"/>
          <w:i/>
          <w:color w:val="auto"/>
          <w:sz w:val="24"/>
          <w:szCs w:val="24"/>
        </w:rPr>
        <w:t>Administrative Science Quarterly</w:t>
      </w:r>
      <w:r w:rsidRPr="00AC58E7">
        <w:rPr>
          <w:rFonts w:ascii="Times New Roman" w:hAnsi="Times New Roman" w:cs="Times New Roman"/>
          <w:color w:val="auto"/>
          <w:sz w:val="24"/>
          <w:szCs w:val="24"/>
        </w:rPr>
        <w:t xml:space="preserve">, </w:t>
      </w:r>
      <w:r w:rsidRPr="00AC58E7">
        <w:rPr>
          <w:rFonts w:ascii="Times New Roman" w:hAnsi="Times New Roman" w:cs="Times New Roman"/>
          <w:b/>
          <w:color w:val="auto"/>
          <w:sz w:val="24"/>
          <w:szCs w:val="24"/>
        </w:rPr>
        <w:t>53</w:t>
      </w:r>
      <w:r w:rsidRPr="00AC58E7">
        <w:rPr>
          <w:rFonts w:ascii="Times New Roman" w:hAnsi="Times New Roman" w:cs="Times New Roman"/>
          <w:color w:val="auto"/>
          <w:sz w:val="24"/>
          <w:szCs w:val="24"/>
        </w:rPr>
        <w:t>, 568</w:t>
      </w:r>
      <w:r w:rsidRPr="00AC58E7">
        <w:rPr>
          <w:rFonts w:ascii="Times New Roman" w:eastAsia="Calibri" w:hAnsi="Times New Roman"/>
          <w:sz w:val="24"/>
        </w:rPr>
        <w:t>–</w:t>
      </w:r>
      <w:r w:rsidRPr="00AC58E7">
        <w:rPr>
          <w:rFonts w:ascii="Times New Roman" w:hAnsi="Times New Roman" w:cs="Times New Roman"/>
          <w:color w:val="auto"/>
          <w:sz w:val="24"/>
          <w:szCs w:val="24"/>
        </w:rPr>
        <w:t>574</w:t>
      </w:r>
      <w:r>
        <w:rPr>
          <w:rFonts w:ascii="Times New Roman" w:hAnsi="Times New Roman" w:cs="Times New Roman"/>
          <w:color w:val="auto"/>
          <w:sz w:val="24"/>
          <w:szCs w:val="24"/>
        </w:rPr>
        <w:t>.</w:t>
      </w:r>
    </w:p>
    <w:p w:rsidR="00FF2A8D" w:rsidRDefault="00FF2A8D" w:rsidP="00FF2A8D">
      <w:pPr>
        <w:spacing w:line="480" w:lineRule="auto"/>
        <w:jc w:val="center"/>
        <w:rPr>
          <w:rFonts w:ascii="Times New Roman" w:hAnsi="Times New Roman"/>
          <w:b/>
          <w:sz w:val="24"/>
        </w:rPr>
        <w:sectPr w:rsidR="00FF2A8D">
          <w:headerReference w:type="default" r:id="rId13"/>
          <w:footerReference w:type="even" r:id="rId14"/>
          <w:footerReference w:type="default" r:id="rId15"/>
          <w:pgSz w:w="12240" w:h="15840"/>
          <w:pgMar w:top="1440" w:right="1440" w:bottom="1440" w:left="1440" w:gutter="0"/>
        </w:sectPr>
      </w:pPr>
    </w:p>
    <w:p w:rsidR="00FF2A8D" w:rsidRPr="00E75558" w:rsidRDefault="00FF2A8D" w:rsidP="00FF2A8D">
      <w:pPr>
        <w:spacing w:line="480" w:lineRule="auto"/>
        <w:jc w:val="center"/>
        <w:rPr>
          <w:rFonts w:ascii="Times New Roman" w:hAnsi="Times New Roman"/>
          <w:b/>
          <w:sz w:val="24"/>
        </w:rPr>
      </w:pPr>
      <w:r w:rsidRPr="00E75558">
        <w:rPr>
          <w:rFonts w:ascii="Times New Roman" w:hAnsi="Times New Roman"/>
          <w:b/>
          <w:sz w:val="24"/>
        </w:rPr>
        <w:t>FIGURE 1</w:t>
      </w:r>
    </w:p>
    <w:p w:rsidR="00FF2A8D" w:rsidRPr="00E75558" w:rsidRDefault="00FF2A8D" w:rsidP="00FF2A8D">
      <w:pPr>
        <w:spacing w:line="480" w:lineRule="auto"/>
        <w:jc w:val="center"/>
        <w:rPr>
          <w:rFonts w:ascii="Times New Roman" w:hAnsi="Times New Roman"/>
          <w:b/>
          <w:sz w:val="24"/>
          <w:vertAlign w:val="superscript"/>
        </w:rPr>
      </w:pPr>
      <w:r w:rsidRPr="00E75558">
        <w:rPr>
          <w:rFonts w:ascii="Times New Roman" w:hAnsi="Times New Roman"/>
          <w:b/>
          <w:sz w:val="24"/>
        </w:rPr>
        <w:t>The social issue selling process in for-profit organizations</w:t>
      </w:r>
      <w:r w:rsidRPr="00E75558">
        <w:rPr>
          <w:rFonts w:ascii="Times New Roman" w:hAnsi="Times New Roman"/>
          <w:b/>
          <w:sz w:val="24"/>
          <w:vertAlign w:val="superscript"/>
        </w:rPr>
        <w:t>a</w:t>
      </w:r>
    </w:p>
    <w:p w:rsidR="00FF2A8D" w:rsidRPr="00E75558" w:rsidRDefault="00380618" w:rsidP="00FF2A8D">
      <w:pPr>
        <w:spacing w:line="480" w:lineRule="auto"/>
        <w:jc w:val="center"/>
        <w:rPr>
          <w:rFonts w:ascii="Times New Roman" w:hAnsi="Times New Roman"/>
          <w:b/>
          <w:sz w:val="24"/>
        </w:rPr>
      </w:pPr>
      <w:r>
        <w:rPr>
          <w:rFonts w:ascii="Times New Roman" w:hAnsi="Times New Roman"/>
          <w:b/>
          <w:noProof/>
          <w:sz w:val="24"/>
        </w:rPr>
        <w:drawing>
          <wp:inline distT="0" distB="0" distL="0" distR="0">
            <wp:extent cx="6410325" cy="4798060"/>
            <wp:effectExtent l="25400" t="0" r="0" b="0"/>
            <wp:docPr id="1" name="Picture 1" descr="IS_paper_model_Nov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_paper_model_Nov15"/>
                    <pic:cNvPicPr>
                      <a:picLocks noChangeAspect="1" noChangeArrowheads="1"/>
                    </pic:cNvPicPr>
                  </pic:nvPicPr>
                  <pic:blipFill>
                    <a:blip r:embed="rId16"/>
                    <a:srcRect/>
                    <a:stretch>
                      <a:fillRect/>
                    </a:stretch>
                  </pic:blipFill>
                  <pic:spPr bwMode="auto">
                    <a:xfrm>
                      <a:off x="0" y="0"/>
                      <a:ext cx="6410325" cy="4798060"/>
                    </a:xfrm>
                    <a:prstGeom prst="rect">
                      <a:avLst/>
                    </a:prstGeom>
                    <a:noFill/>
                    <a:ln w="9525">
                      <a:noFill/>
                      <a:miter lim="800000"/>
                      <a:headEnd/>
                      <a:tailEnd/>
                    </a:ln>
                  </pic:spPr>
                </pic:pic>
              </a:graphicData>
            </a:graphic>
          </wp:inline>
        </w:drawing>
      </w:r>
    </w:p>
    <w:p w:rsidR="00FF2A8D" w:rsidRPr="00E75558" w:rsidRDefault="00FF2A8D" w:rsidP="00FF2A8D">
      <w:pPr>
        <w:spacing w:line="240" w:lineRule="auto"/>
        <w:rPr>
          <w:rFonts w:ascii="Times New Roman" w:hAnsi="Times New Roman"/>
          <w:i/>
        </w:rPr>
      </w:pPr>
      <w:r w:rsidRPr="00E75558">
        <w:rPr>
          <w:rFonts w:ascii="Times New Roman" w:hAnsi="Times New Roman"/>
          <w:i/>
        </w:rPr>
        <w:t>Note</w:t>
      </w:r>
    </w:p>
    <w:p w:rsidR="00FF2A8D" w:rsidRPr="00E75558" w:rsidRDefault="00FF2A8D" w:rsidP="00FF2A8D">
      <w:pPr>
        <w:pStyle w:val="FootnoteText"/>
        <w:rPr>
          <w:sz w:val="22"/>
          <w:lang w:val="en-GB"/>
        </w:rPr>
      </w:pPr>
      <w:r w:rsidRPr="00E75558">
        <w:rPr>
          <w:b/>
          <w:sz w:val="22"/>
          <w:vertAlign w:val="superscript"/>
        </w:rPr>
        <w:t>a</w:t>
      </w:r>
      <w:r w:rsidRPr="00E75558">
        <w:rPr>
          <w:sz w:val="22"/>
        </w:rPr>
        <w:t xml:space="preserve"> The thicker lines of the logics circles represent the centrality of the commercial logic; the degree of overlap between circles represents the compatibility between the commercial and social welfare logics. Dashed arrows indicate either subordination of one logic to the other, or low adherence. Dotted arrows represent influences on the process that are beyond the scope of our propositions.</w:t>
      </w:r>
    </w:p>
    <w:p w:rsidR="00FF2A8D" w:rsidRPr="00E75558" w:rsidRDefault="00FF2A8D" w:rsidP="00FF2A8D">
      <w:pPr>
        <w:spacing w:line="480" w:lineRule="auto"/>
        <w:jc w:val="center"/>
        <w:rPr>
          <w:rFonts w:ascii="Times New Roman" w:hAnsi="Times New Roman"/>
          <w:sz w:val="24"/>
        </w:rPr>
      </w:pPr>
    </w:p>
    <w:p w:rsidR="00FF2A8D" w:rsidRPr="00E75558" w:rsidRDefault="00FF2A8D" w:rsidP="00FF2A8D">
      <w:pPr>
        <w:spacing w:line="480" w:lineRule="auto"/>
        <w:jc w:val="center"/>
        <w:rPr>
          <w:rFonts w:ascii="Times New Roman" w:hAnsi="Times New Roman"/>
          <w:sz w:val="24"/>
        </w:rPr>
      </w:pPr>
    </w:p>
    <w:p w:rsidR="00FF2A8D" w:rsidRPr="00E75558" w:rsidRDefault="00FF2A8D" w:rsidP="00FF2A8D">
      <w:pPr>
        <w:spacing w:line="480" w:lineRule="auto"/>
        <w:jc w:val="center"/>
        <w:rPr>
          <w:rFonts w:ascii="Times New Roman" w:hAnsi="Times New Roman"/>
          <w:sz w:val="24"/>
        </w:rPr>
      </w:pPr>
    </w:p>
    <w:p w:rsidR="00FF2A8D" w:rsidRPr="00E75558" w:rsidRDefault="00FF2A8D" w:rsidP="00FF2A8D">
      <w:pPr>
        <w:spacing w:line="480" w:lineRule="auto"/>
        <w:jc w:val="center"/>
        <w:rPr>
          <w:rFonts w:ascii="Times New Roman" w:hAnsi="Times New Roman"/>
          <w:sz w:val="24"/>
        </w:rPr>
      </w:pPr>
    </w:p>
    <w:p w:rsidR="00FF2A8D" w:rsidRPr="00E75558" w:rsidRDefault="00FF2A8D" w:rsidP="00FF2A8D">
      <w:pPr>
        <w:spacing w:line="480" w:lineRule="auto"/>
        <w:jc w:val="center"/>
        <w:rPr>
          <w:rFonts w:ascii="Times New Roman" w:hAnsi="Times New Roman"/>
          <w:sz w:val="24"/>
        </w:rPr>
      </w:pPr>
    </w:p>
    <w:p w:rsidR="00FF2A8D" w:rsidRPr="00E75558" w:rsidRDefault="00FF2A8D" w:rsidP="00FF2A8D">
      <w:pPr>
        <w:spacing w:line="480" w:lineRule="auto"/>
        <w:jc w:val="center"/>
        <w:rPr>
          <w:rFonts w:ascii="Times New Roman" w:hAnsi="Times New Roman"/>
          <w:sz w:val="24"/>
          <w:szCs w:val="48"/>
        </w:rPr>
      </w:pPr>
      <w:r w:rsidRPr="00E75558">
        <w:rPr>
          <w:rFonts w:ascii="Times New Roman" w:hAnsi="Times New Roman"/>
          <w:b/>
          <w:sz w:val="24"/>
        </w:rPr>
        <w:t>FIGURE 2</w:t>
      </w:r>
    </w:p>
    <w:p w:rsidR="00FF2A8D" w:rsidRPr="00E75558" w:rsidRDefault="00FF2A8D" w:rsidP="00FF2A8D">
      <w:pPr>
        <w:spacing w:line="480" w:lineRule="auto"/>
        <w:jc w:val="center"/>
        <w:rPr>
          <w:rFonts w:ascii="Times New Roman" w:hAnsi="Times New Roman"/>
          <w:b/>
          <w:sz w:val="24"/>
          <w:vertAlign w:val="superscript"/>
        </w:rPr>
      </w:pPr>
      <w:r w:rsidRPr="00E75558">
        <w:rPr>
          <w:rFonts w:ascii="Times New Roman" w:hAnsi="Times New Roman"/>
          <w:b/>
          <w:sz w:val="24"/>
        </w:rPr>
        <w:t>Social issue selling approaches</w:t>
      </w:r>
      <w:r w:rsidRPr="00E75558">
        <w:rPr>
          <w:rFonts w:ascii="Times New Roman" w:hAnsi="Times New Roman"/>
          <w:b/>
          <w:sz w:val="24"/>
          <w:vertAlign w:val="superscript"/>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742"/>
        <w:gridCol w:w="3843"/>
        <w:gridCol w:w="3743"/>
      </w:tblGrid>
      <w:tr w:rsidR="00FF2A8D" w:rsidRPr="00E75558">
        <w:tc>
          <w:tcPr>
            <w:tcW w:w="0" w:type="auto"/>
            <w:gridSpan w:val="2"/>
            <w:vMerge w:val="restart"/>
            <w:tcBorders>
              <w:top w:val="nil"/>
              <w:left w:val="nil"/>
              <w:bottom w:val="nil"/>
              <w:right w:val="nil"/>
            </w:tcBorders>
          </w:tcPr>
          <w:p w:rsidR="00FF2A8D" w:rsidRPr="00E75558" w:rsidRDefault="00FF2A8D" w:rsidP="00FF2A8D">
            <w:pPr>
              <w:spacing w:line="480" w:lineRule="auto"/>
              <w:jc w:val="center"/>
              <w:rPr>
                <w:rFonts w:ascii="Times New Roman" w:eastAsia="Cambria" w:hAnsi="Times New Roman" w:cs="Times New Roman"/>
                <w:szCs w:val="24"/>
              </w:rPr>
            </w:pPr>
          </w:p>
        </w:tc>
        <w:tc>
          <w:tcPr>
            <w:tcW w:w="0" w:type="auto"/>
            <w:gridSpan w:val="2"/>
            <w:tcBorders>
              <w:top w:val="nil"/>
              <w:left w:val="nil"/>
              <w:bottom w:val="nil"/>
              <w:right w:val="nil"/>
            </w:tcBorders>
            <w:vAlign w:val="bottom"/>
          </w:tcPr>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THE ORGANIZATION</w:t>
            </w: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Compatibility between commercial and social welfare logics</w:t>
            </w:r>
          </w:p>
        </w:tc>
      </w:tr>
      <w:tr w:rsidR="00FF2A8D" w:rsidRPr="00E75558">
        <w:tc>
          <w:tcPr>
            <w:tcW w:w="0" w:type="auto"/>
            <w:gridSpan w:val="2"/>
            <w:vMerge/>
            <w:tcBorders>
              <w:top w:val="nil"/>
              <w:left w:val="nil"/>
              <w:bottom w:val="nil"/>
              <w:right w:val="nil"/>
            </w:tcBorders>
          </w:tcPr>
          <w:p w:rsidR="00FF2A8D" w:rsidRPr="00E75558" w:rsidRDefault="00FF2A8D" w:rsidP="00FF2A8D">
            <w:pPr>
              <w:spacing w:line="480" w:lineRule="auto"/>
              <w:jc w:val="center"/>
              <w:rPr>
                <w:rFonts w:ascii="Times New Roman" w:eastAsia="Cambria" w:hAnsi="Times New Roman" w:cs="Times New Roman"/>
                <w:szCs w:val="24"/>
              </w:rPr>
            </w:pPr>
          </w:p>
        </w:tc>
        <w:tc>
          <w:tcPr>
            <w:tcW w:w="0" w:type="auto"/>
            <w:tcBorders>
              <w:top w:val="nil"/>
              <w:left w:val="nil"/>
              <w:bottom w:val="single" w:sz="4" w:space="0" w:color="auto"/>
              <w:right w:val="nil"/>
            </w:tcBorders>
            <w:vAlign w:val="bottom"/>
          </w:tcPr>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High (A)</w:t>
            </w:r>
          </w:p>
        </w:tc>
        <w:tc>
          <w:tcPr>
            <w:tcW w:w="0" w:type="auto"/>
            <w:tcBorders>
              <w:top w:val="nil"/>
              <w:left w:val="nil"/>
              <w:bottom w:val="single" w:sz="4" w:space="0" w:color="auto"/>
              <w:right w:val="nil"/>
            </w:tcBorders>
            <w:vAlign w:val="bottom"/>
          </w:tcPr>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Low (B)</w:t>
            </w:r>
          </w:p>
        </w:tc>
      </w:tr>
      <w:tr w:rsidR="00FF2A8D" w:rsidRPr="00E75558">
        <w:trPr>
          <w:cantSplit/>
          <w:trHeight w:val="1134"/>
        </w:trPr>
        <w:tc>
          <w:tcPr>
            <w:tcW w:w="0" w:type="auto"/>
            <w:vMerge w:val="restart"/>
            <w:tcBorders>
              <w:top w:val="nil"/>
              <w:left w:val="nil"/>
              <w:bottom w:val="nil"/>
              <w:right w:val="nil"/>
            </w:tcBorders>
            <w:textDirection w:val="btLr"/>
            <w:vAlign w:val="center"/>
          </w:tcPr>
          <w:p w:rsidR="00FF2A8D" w:rsidRPr="00E75558" w:rsidRDefault="00FF2A8D" w:rsidP="00FF2A8D">
            <w:pPr>
              <w:spacing w:line="480" w:lineRule="auto"/>
              <w:ind w:left="113" w:right="113"/>
              <w:jc w:val="center"/>
              <w:rPr>
                <w:rFonts w:ascii="Times New Roman" w:eastAsia="Cambria" w:hAnsi="Times New Roman" w:cs="Times New Roman"/>
                <w:b/>
                <w:szCs w:val="24"/>
              </w:rPr>
            </w:pPr>
            <w:r w:rsidRPr="00E75558">
              <w:rPr>
                <w:rFonts w:ascii="Times New Roman" w:eastAsia="Cambria" w:hAnsi="Times New Roman" w:cs="Times New Roman"/>
                <w:b/>
                <w:szCs w:val="24"/>
              </w:rPr>
              <w:t>THE TARGET</w:t>
            </w:r>
          </w:p>
          <w:p w:rsidR="00FF2A8D" w:rsidRPr="00E75558" w:rsidRDefault="00FF2A8D" w:rsidP="00FF2A8D">
            <w:pPr>
              <w:spacing w:line="480" w:lineRule="auto"/>
              <w:ind w:left="113" w:right="113"/>
              <w:jc w:val="center"/>
              <w:rPr>
                <w:rFonts w:ascii="Times New Roman" w:eastAsia="Cambria" w:hAnsi="Times New Roman" w:cs="Times New Roman"/>
                <w:b/>
                <w:szCs w:val="24"/>
              </w:rPr>
            </w:pPr>
            <w:r w:rsidRPr="00E75558">
              <w:rPr>
                <w:rFonts w:ascii="Times New Roman" w:eastAsia="Cambria" w:hAnsi="Times New Roman" w:cs="Times New Roman"/>
                <w:b/>
                <w:szCs w:val="24"/>
              </w:rPr>
              <w:t>Adherence to social welfare logic</w:t>
            </w:r>
          </w:p>
        </w:tc>
        <w:tc>
          <w:tcPr>
            <w:tcW w:w="0" w:type="auto"/>
            <w:tcBorders>
              <w:top w:val="nil"/>
              <w:left w:val="nil"/>
              <w:bottom w:val="nil"/>
              <w:right w:val="single" w:sz="4" w:space="0" w:color="auto"/>
            </w:tcBorders>
            <w:textDirection w:val="btLr"/>
            <w:vAlign w:val="center"/>
          </w:tcPr>
          <w:p w:rsidR="00FF2A8D" w:rsidRPr="00E75558" w:rsidRDefault="00FF2A8D" w:rsidP="00FF2A8D">
            <w:pPr>
              <w:spacing w:line="480" w:lineRule="auto"/>
              <w:ind w:left="113" w:right="113"/>
              <w:jc w:val="center"/>
              <w:rPr>
                <w:rFonts w:ascii="Times New Roman" w:eastAsia="Cambria" w:hAnsi="Times New Roman" w:cs="Times New Roman"/>
                <w:b/>
                <w:szCs w:val="24"/>
              </w:rPr>
            </w:pPr>
            <w:r w:rsidRPr="00E75558">
              <w:rPr>
                <w:rFonts w:ascii="Times New Roman" w:eastAsia="Cambria" w:hAnsi="Times New Roman" w:cs="Times New Roman"/>
                <w:b/>
                <w:szCs w:val="24"/>
              </w:rPr>
              <w:t>Low (a)</w:t>
            </w:r>
          </w:p>
        </w:tc>
        <w:tc>
          <w:tcPr>
            <w:tcW w:w="0" w:type="auto"/>
            <w:tcBorders>
              <w:top w:val="single" w:sz="4" w:space="0" w:color="auto"/>
              <w:left w:val="single" w:sz="4" w:space="0" w:color="auto"/>
              <w:bottom w:val="single" w:sz="4" w:space="0" w:color="auto"/>
              <w:right w:val="single" w:sz="4" w:space="0" w:color="auto"/>
            </w:tcBorders>
          </w:tcPr>
          <w:p w:rsidR="00FF2A8D" w:rsidRPr="00E75558" w:rsidRDefault="00FF2A8D" w:rsidP="00FF2A8D">
            <w:pPr>
              <w:spacing w:line="480" w:lineRule="auto"/>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THE COST-BENEFIT SELL</w:t>
            </w:r>
          </w:p>
          <w:p w:rsidR="00FF2A8D" w:rsidRPr="00E75558" w:rsidRDefault="00FF2A8D" w:rsidP="00FF2A8D">
            <w:pPr>
              <w:spacing w:line="480" w:lineRule="auto"/>
              <w:jc w:val="center"/>
              <w:rPr>
                <w:rFonts w:ascii="Times New Roman" w:eastAsia="Cambria" w:hAnsi="Times New Roman" w:cs="Times New Roman"/>
                <w:b/>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Win-win solutions (1) motivated with restricted vocabulary (3)</w:t>
            </w:r>
          </w:p>
          <w:p w:rsidR="00FF2A8D" w:rsidRPr="00E75558" w:rsidRDefault="00FF2A8D" w:rsidP="00FF2A8D">
            <w:pPr>
              <w:spacing w:line="480" w:lineRule="auto"/>
              <w:jc w:val="center"/>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Example: Environmental specialists at Chipco (Howard-Grenville, 2007)</w:t>
            </w:r>
          </w:p>
        </w:tc>
        <w:tc>
          <w:tcPr>
            <w:tcW w:w="0" w:type="auto"/>
            <w:tcBorders>
              <w:top w:val="single" w:sz="4" w:space="0" w:color="auto"/>
              <w:left w:val="single" w:sz="4" w:space="0" w:color="auto"/>
              <w:bottom w:val="single" w:sz="4" w:space="0" w:color="auto"/>
              <w:right w:val="single" w:sz="4" w:space="0" w:color="auto"/>
            </w:tcBorders>
          </w:tcPr>
          <w:p w:rsidR="00FF2A8D" w:rsidRPr="00E75558" w:rsidRDefault="00FF2A8D" w:rsidP="00FF2A8D">
            <w:pPr>
              <w:spacing w:line="480" w:lineRule="auto"/>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THE TROJAN HORSE SELL</w:t>
            </w:r>
          </w:p>
          <w:p w:rsidR="00FF2A8D" w:rsidRPr="00E75558" w:rsidRDefault="00FF2A8D" w:rsidP="00FF2A8D">
            <w:pPr>
              <w:spacing w:line="480" w:lineRule="auto"/>
              <w:jc w:val="center"/>
              <w:rPr>
                <w:rFonts w:ascii="Times New Roman" w:eastAsia="Cambria" w:hAnsi="Times New Roman" w:cs="Times New Roman"/>
                <w:b/>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Integrative solutions (2) motivated with restricted vocabulary (3)</w:t>
            </w:r>
          </w:p>
          <w:p w:rsidR="00FF2A8D" w:rsidRPr="00E75558" w:rsidRDefault="00FF2A8D" w:rsidP="00FF2A8D">
            <w:pPr>
              <w:spacing w:line="480" w:lineRule="auto"/>
              <w:jc w:val="center"/>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Example: Kevin Thompson at IBM</w:t>
            </w: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(Davis and White, 2015)</w:t>
            </w:r>
          </w:p>
        </w:tc>
      </w:tr>
      <w:tr w:rsidR="00FF2A8D" w:rsidRPr="00E75558">
        <w:trPr>
          <w:cantSplit/>
          <w:trHeight w:val="1134"/>
        </w:trPr>
        <w:tc>
          <w:tcPr>
            <w:tcW w:w="0" w:type="auto"/>
            <w:vMerge/>
            <w:tcBorders>
              <w:top w:val="nil"/>
              <w:left w:val="nil"/>
              <w:bottom w:val="nil"/>
              <w:right w:val="nil"/>
            </w:tcBorders>
          </w:tcPr>
          <w:p w:rsidR="00FF2A8D" w:rsidRPr="00E75558" w:rsidRDefault="00FF2A8D" w:rsidP="00FF2A8D">
            <w:pPr>
              <w:spacing w:line="480" w:lineRule="auto"/>
              <w:jc w:val="center"/>
              <w:rPr>
                <w:rFonts w:ascii="Times New Roman" w:eastAsia="Cambria" w:hAnsi="Times New Roman" w:cs="Times New Roman"/>
                <w:szCs w:val="24"/>
              </w:rPr>
            </w:pPr>
          </w:p>
        </w:tc>
        <w:tc>
          <w:tcPr>
            <w:tcW w:w="0" w:type="auto"/>
            <w:tcBorders>
              <w:top w:val="nil"/>
              <w:left w:val="nil"/>
              <w:bottom w:val="nil"/>
              <w:right w:val="single" w:sz="4" w:space="0" w:color="auto"/>
            </w:tcBorders>
            <w:textDirection w:val="btLr"/>
            <w:vAlign w:val="center"/>
          </w:tcPr>
          <w:p w:rsidR="00FF2A8D" w:rsidRPr="00E75558" w:rsidRDefault="00FF2A8D" w:rsidP="00FF2A8D">
            <w:pPr>
              <w:spacing w:line="480" w:lineRule="auto"/>
              <w:ind w:left="113" w:right="113"/>
              <w:jc w:val="center"/>
              <w:rPr>
                <w:rFonts w:ascii="Times New Roman" w:eastAsia="Cambria" w:hAnsi="Times New Roman" w:cs="Times New Roman"/>
                <w:b/>
                <w:szCs w:val="24"/>
              </w:rPr>
            </w:pPr>
            <w:r w:rsidRPr="00E75558">
              <w:rPr>
                <w:rFonts w:ascii="Times New Roman" w:eastAsia="Cambria" w:hAnsi="Times New Roman" w:cs="Times New Roman"/>
                <w:b/>
                <w:szCs w:val="24"/>
              </w:rPr>
              <w:t>High (b)</w:t>
            </w:r>
          </w:p>
        </w:tc>
        <w:tc>
          <w:tcPr>
            <w:tcW w:w="0" w:type="auto"/>
            <w:tcBorders>
              <w:top w:val="single" w:sz="4" w:space="0" w:color="auto"/>
              <w:left w:val="single" w:sz="4" w:space="0" w:color="auto"/>
              <w:bottom w:val="single" w:sz="4" w:space="0" w:color="auto"/>
              <w:right w:val="single" w:sz="4" w:space="0" w:color="auto"/>
            </w:tcBorders>
          </w:tcPr>
          <w:p w:rsidR="00FF2A8D" w:rsidRPr="00E75558" w:rsidRDefault="00FF2A8D" w:rsidP="00FF2A8D">
            <w:pPr>
              <w:spacing w:line="480" w:lineRule="auto"/>
              <w:jc w:val="center"/>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THE ENLIGHTENED SELF-INTEREST SELL</w:t>
            </w: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Win-win solutions (1) motivated with elaborated vocabulary (4)</w:t>
            </w:r>
          </w:p>
          <w:p w:rsidR="00FF2A8D" w:rsidRPr="00E75558" w:rsidRDefault="00FF2A8D" w:rsidP="00FF2A8D">
            <w:pPr>
              <w:spacing w:line="480" w:lineRule="auto"/>
              <w:jc w:val="center"/>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 xml:space="preserve">Example: Employees at Alpha </w:t>
            </w: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(Bansal, 2003)</w:t>
            </w:r>
          </w:p>
        </w:tc>
        <w:tc>
          <w:tcPr>
            <w:tcW w:w="0" w:type="auto"/>
            <w:tcBorders>
              <w:top w:val="single" w:sz="4" w:space="0" w:color="auto"/>
              <w:left w:val="single" w:sz="4" w:space="0" w:color="auto"/>
            </w:tcBorders>
          </w:tcPr>
          <w:p w:rsidR="00FF2A8D" w:rsidRPr="00E75558" w:rsidRDefault="00FF2A8D" w:rsidP="00FF2A8D">
            <w:pPr>
              <w:spacing w:line="480" w:lineRule="auto"/>
              <w:jc w:val="center"/>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THE PARADOXICAL SELL</w:t>
            </w:r>
          </w:p>
          <w:p w:rsidR="00FF2A8D" w:rsidRPr="00E75558" w:rsidRDefault="00FF2A8D" w:rsidP="00FF2A8D">
            <w:pPr>
              <w:spacing w:line="480" w:lineRule="auto"/>
              <w:jc w:val="center"/>
              <w:rPr>
                <w:rFonts w:ascii="Times New Roman" w:eastAsia="Cambria" w:hAnsi="Times New Roman" w:cs="Times New Roman"/>
                <w:b/>
                <w:szCs w:val="24"/>
              </w:rPr>
            </w:pPr>
          </w:p>
          <w:p w:rsidR="00FF2A8D" w:rsidRPr="00E75558" w:rsidRDefault="00FF2A8D" w:rsidP="00FF2A8D">
            <w:pPr>
              <w:spacing w:line="480" w:lineRule="auto"/>
              <w:jc w:val="center"/>
              <w:rPr>
                <w:rFonts w:ascii="Times New Roman" w:eastAsia="Cambria" w:hAnsi="Times New Roman" w:cs="Times New Roman"/>
                <w:b/>
                <w:szCs w:val="24"/>
              </w:rPr>
            </w:pPr>
            <w:r w:rsidRPr="00E75558">
              <w:rPr>
                <w:rFonts w:ascii="Times New Roman" w:eastAsia="Cambria" w:hAnsi="Times New Roman" w:cs="Times New Roman"/>
                <w:b/>
                <w:szCs w:val="24"/>
              </w:rPr>
              <w:t>Integrative solutions (2) motivated with elaborated vocabulary (4)</w:t>
            </w:r>
          </w:p>
          <w:p w:rsidR="00FF2A8D" w:rsidRPr="00E75558" w:rsidRDefault="00FF2A8D" w:rsidP="00FF2A8D">
            <w:pPr>
              <w:spacing w:line="480" w:lineRule="auto"/>
              <w:jc w:val="center"/>
              <w:rPr>
                <w:rFonts w:ascii="Times New Roman" w:eastAsia="Cambria" w:hAnsi="Times New Roman" w:cs="Times New Roman"/>
                <w:szCs w:val="24"/>
              </w:rPr>
            </w:pP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Example: Jo da Silva at Arup</w:t>
            </w:r>
          </w:p>
          <w:p w:rsidR="00FF2A8D" w:rsidRPr="00E75558" w:rsidRDefault="00FF2A8D" w:rsidP="00FF2A8D">
            <w:pPr>
              <w:spacing w:line="480" w:lineRule="auto"/>
              <w:jc w:val="center"/>
              <w:rPr>
                <w:rFonts w:ascii="Times New Roman" w:eastAsia="Cambria" w:hAnsi="Times New Roman" w:cs="Times New Roman"/>
                <w:szCs w:val="24"/>
              </w:rPr>
            </w:pPr>
            <w:r w:rsidRPr="00E75558">
              <w:rPr>
                <w:rFonts w:ascii="Times New Roman" w:eastAsia="Cambria" w:hAnsi="Times New Roman" w:cs="Times New Roman"/>
                <w:szCs w:val="24"/>
              </w:rPr>
              <w:t xml:space="preserve">(Grayson </w:t>
            </w:r>
            <w:r w:rsidRPr="002A2443">
              <w:rPr>
                <w:rFonts w:ascii="Times New Roman" w:eastAsia="Cambria" w:hAnsi="Times New Roman" w:cs="Times New Roman"/>
                <w:i/>
                <w:szCs w:val="24"/>
              </w:rPr>
              <w:t>et al.</w:t>
            </w:r>
            <w:r w:rsidRPr="00E75558">
              <w:rPr>
                <w:rFonts w:ascii="Times New Roman" w:eastAsia="Cambria" w:hAnsi="Times New Roman" w:cs="Times New Roman"/>
                <w:szCs w:val="24"/>
              </w:rPr>
              <w:t>, 2014)</w:t>
            </w:r>
          </w:p>
        </w:tc>
      </w:tr>
    </w:tbl>
    <w:p w:rsidR="00FF2A8D" w:rsidRPr="00E75558" w:rsidRDefault="00FF2A8D" w:rsidP="00FF2A8D">
      <w:pPr>
        <w:spacing w:line="480" w:lineRule="auto"/>
        <w:rPr>
          <w:rFonts w:ascii="Times New Roman" w:hAnsi="Times New Roman"/>
          <w:i/>
        </w:rPr>
      </w:pPr>
      <w:r w:rsidRPr="00E75558">
        <w:rPr>
          <w:rFonts w:ascii="Times New Roman" w:hAnsi="Times New Roman"/>
          <w:i/>
        </w:rPr>
        <w:t>Note</w:t>
      </w:r>
    </w:p>
    <w:p w:rsidR="00FF2A8D" w:rsidRPr="00E75558" w:rsidRDefault="00FF2A8D" w:rsidP="00FF2A8D">
      <w:pPr>
        <w:pStyle w:val="FootnoteText"/>
        <w:rPr>
          <w:sz w:val="22"/>
        </w:rPr>
      </w:pPr>
      <w:r w:rsidRPr="00E75558">
        <w:rPr>
          <w:sz w:val="22"/>
          <w:vertAlign w:val="superscript"/>
        </w:rPr>
        <w:t>a</w:t>
      </w:r>
      <w:r w:rsidRPr="00E75558">
        <w:rPr>
          <w:sz w:val="22"/>
        </w:rPr>
        <w:t xml:space="preserve"> The key (letters and numbers) indicates how the selling approaches link to the propositions and the process model illustrated in Figure 1.</w:t>
      </w:r>
    </w:p>
    <w:sectPr w:rsidR="00FF2A8D" w:rsidRPr="00E75558" w:rsidSect="00FF2A8D">
      <w:headerReference w:type="default" r:id="rId17"/>
      <w:footerReference w:type="even" r:id="rId18"/>
      <w:footerReference w:type="default" r:id="rId19"/>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265D2" w:rsidRDefault="006265D2">
      <w:pPr>
        <w:spacing w:line="240" w:lineRule="auto"/>
      </w:pPr>
      <w:r>
        <w:separator/>
      </w:r>
    </w:p>
  </w:endnote>
  <w:endnote w:type="continuationSeparator" w:id="1">
    <w:p w:rsidR="006265D2" w:rsidRDefault="006265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Lucida Grande">
    <w:panose1 w:val="030907020304070204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lior">
    <w:altName w:val="Times New Roman"/>
    <w:panose1 w:val="00000000000000000000"/>
    <w:charset w:val="4D"/>
    <w:family w:val="roman"/>
    <w:notTrueType/>
    <w:pitch w:val="default"/>
    <w:sig w:usb0="00000003" w:usb1="00000000" w:usb2="00000000" w:usb3="00000000" w:csb0="00000001" w:csb1="00000000"/>
  </w:font>
  <w:font w:name="BaskervilleMT">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y7tir">
    <w:altName w:val="Times New Roman"/>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45A8" w:rsidRDefault="00A33891" w:rsidP="00A01DB7">
    <w:pPr>
      <w:pStyle w:val="Footer"/>
      <w:framePr w:wrap="around" w:vAnchor="text" w:hAnchor="margin" w:xAlign="center" w:y="1"/>
      <w:rPr>
        <w:rStyle w:val="PageNumber"/>
      </w:rPr>
    </w:pPr>
    <w:r>
      <w:rPr>
        <w:rStyle w:val="PageNumber"/>
      </w:rPr>
      <w:fldChar w:fldCharType="begin"/>
    </w:r>
    <w:r w:rsidR="00B645A8">
      <w:rPr>
        <w:rStyle w:val="PageNumber"/>
      </w:rPr>
      <w:instrText xml:space="preserve">PAGE  </w:instrText>
    </w:r>
    <w:r>
      <w:rPr>
        <w:rStyle w:val="PageNumber"/>
      </w:rPr>
      <w:fldChar w:fldCharType="end"/>
    </w:r>
  </w:p>
  <w:p w:rsidR="00B645A8" w:rsidRDefault="00B645A8" w:rsidP="00A01DB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45A8" w:rsidRPr="00C7236D" w:rsidRDefault="00A33891" w:rsidP="00A01DB7">
    <w:pPr>
      <w:pStyle w:val="Footer"/>
      <w:framePr w:wrap="around" w:vAnchor="text" w:hAnchor="margin" w:xAlign="center" w:y="1"/>
      <w:jc w:val="center"/>
      <w:rPr>
        <w:rStyle w:val="PageNumber"/>
      </w:rPr>
    </w:pPr>
    <w:r w:rsidRPr="00C7236D">
      <w:rPr>
        <w:rStyle w:val="PageNumber"/>
        <w:rFonts w:ascii="Times New Roman" w:hAnsi="Times New Roman"/>
        <w:color w:val="FFFFFF"/>
        <w:sz w:val="24"/>
      </w:rPr>
      <w:fldChar w:fldCharType="begin"/>
    </w:r>
    <w:r w:rsidR="00B645A8" w:rsidRPr="00C7236D">
      <w:rPr>
        <w:rStyle w:val="PageNumber"/>
        <w:rFonts w:ascii="Times New Roman" w:hAnsi="Times New Roman"/>
        <w:color w:val="FFFFFF"/>
        <w:sz w:val="24"/>
      </w:rPr>
      <w:instrText xml:space="preserve">PAGE  </w:instrText>
    </w:r>
    <w:r w:rsidRPr="00C7236D">
      <w:rPr>
        <w:rStyle w:val="PageNumber"/>
        <w:rFonts w:ascii="Times New Roman" w:hAnsi="Times New Roman"/>
        <w:color w:val="FFFFFF"/>
        <w:sz w:val="24"/>
      </w:rPr>
      <w:fldChar w:fldCharType="separate"/>
    </w:r>
    <w:r w:rsidR="00C01440">
      <w:rPr>
        <w:rStyle w:val="PageNumber"/>
        <w:rFonts w:ascii="Times New Roman" w:hAnsi="Times New Roman"/>
        <w:noProof/>
        <w:color w:val="FFFFFF"/>
        <w:sz w:val="24"/>
      </w:rPr>
      <w:t>0</w:t>
    </w:r>
    <w:r w:rsidRPr="00C7236D">
      <w:rPr>
        <w:rStyle w:val="PageNumber"/>
        <w:rFonts w:ascii="Times New Roman" w:hAnsi="Times New Roman"/>
        <w:color w:val="FFFFFF"/>
        <w:sz w:val="24"/>
      </w:rPr>
      <w:fldChar w:fldCharType="end"/>
    </w:r>
  </w:p>
  <w:p w:rsidR="00B645A8" w:rsidRPr="00C7236D" w:rsidRDefault="00B645A8" w:rsidP="00A01DB7">
    <w:pPr>
      <w:pStyle w:val="Footer"/>
      <w:ind w:right="360"/>
      <w:jc w:val="center"/>
      <w:rPr>
        <w:rFonts w:ascii="Times New Roman" w:hAnsi="Times New Roman"/>
        <w:color w:val="FFFFFF"/>
        <w:sz w:val="24"/>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Default="00A33891" w:rsidP="00B645A8">
    <w:pPr>
      <w:pStyle w:val="Footer"/>
      <w:framePr w:wrap="around" w:vAnchor="text" w:hAnchor="margin" w:xAlign="center" w:y="1"/>
      <w:rPr>
        <w:rStyle w:val="PageNumber"/>
      </w:rPr>
    </w:pPr>
    <w:r>
      <w:rPr>
        <w:rStyle w:val="PageNumber"/>
      </w:rPr>
      <w:fldChar w:fldCharType="begin"/>
    </w:r>
    <w:r w:rsidR="006265D2">
      <w:rPr>
        <w:rStyle w:val="PageNumber"/>
      </w:rPr>
      <w:instrText xml:space="preserve">PAGE  </w:instrText>
    </w:r>
    <w:r>
      <w:rPr>
        <w:rStyle w:val="PageNumber"/>
      </w:rPr>
      <w:fldChar w:fldCharType="end"/>
    </w:r>
  </w:p>
  <w:p w:rsidR="006265D2" w:rsidRDefault="006265D2" w:rsidP="00FF2A8D">
    <w:pPr>
      <w:pStyle w:val="Footer"/>
      <w:ind w:right="360"/>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Pr="00AD5254" w:rsidRDefault="00A33891" w:rsidP="00B645A8">
    <w:pPr>
      <w:pStyle w:val="Footer"/>
      <w:framePr w:wrap="around" w:vAnchor="text" w:hAnchor="margin" w:xAlign="center" w:y="1"/>
      <w:jc w:val="center"/>
      <w:rPr>
        <w:rStyle w:val="PageNumber"/>
      </w:rPr>
    </w:pPr>
    <w:r w:rsidRPr="00AD5254">
      <w:rPr>
        <w:rStyle w:val="PageNumber"/>
        <w:rFonts w:ascii="Times New Roman" w:hAnsi="Times New Roman"/>
        <w:sz w:val="24"/>
      </w:rPr>
      <w:fldChar w:fldCharType="begin"/>
    </w:r>
    <w:r w:rsidR="006265D2" w:rsidRPr="00AD5254">
      <w:rPr>
        <w:rStyle w:val="PageNumber"/>
        <w:rFonts w:ascii="Times New Roman" w:hAnsi="Times New Roman"/>
        <w:sz w:val="24"/>
      </w:rPr>
      <w:instrText xml:space="preserve">PAGE  </w:instrText>
    </w:r>
    <w:r w:rsidRPr="00AD5254">
      <w:rPr>
        <w:rStyle w:val="PageNumber"/>
        <w:rFonts w:ascii="Times New Roman" w:hAnsi="Times New Roman"/>
        <w:sz w:val="24"/>
      </w:rPr>
      <w:fldChar w:fldCharType="separate"/>
    </w:r>
    <w:r w:rsidR="00C01440">
      <w:rPr>
        <w:rStyle w:val="PageNumber"/>
        <w:rFonts w:ascii="Times New Roman" w:hAnsi="Times New Roman"/>
        <w:noProof/>
        <w:sz w:val="24"/>
      </w:rPr>
      <w:t>1</w:t>
    </w:r>
    <w:r w:rsidRPr="00AD5254">
      <w:rPr>
        <w:rStyle w:val="PageNumber"/>
        <w:rFonts w:ascii="Times New Roman" w:hAnsi="Times New Roman"/>
        <w:sz w:val="24"/>
      </w:rPr>
      <w:fldChar w:fldCharType="end"/>
    </w:r>
  </w:p>
  <w:p w:rsidR="006265D2" w:rsidRPr="00AD5254" w:rsidRDefault="006265D2" w:rsidP="00FF2A8D">
    <w:pPr>
      <w:pStyle w:val="Footer"/>
      <w:ind w:right="360"/>
      <w:jc w:val="center"/>
      <w:rPr>
        <w:rFonts w:ascii="Times New Roman" w:hAnsi="Times New Roman"/>
        <w:sz w:val="24"/>
      </w:rPr>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Default="00A33891" w:rsidP="00FF2A8D">
    <w:pPr>
      <w:pStyle w:val="Footer"/>
      <w:framePr w:wrap="around" w:vAnchor="text" w:hAnchor="margin" w:xAlign="center" w:y="1"/>
      <w:rPr>
        <w:rStyle w:val="PageNumber"/>
      </w:rPr>
    </w:pPr>
    <w:r>
      <w:rPr>
        <w:rStyle w:val="PageNumber"/>
      </w:rPr>
      <w:fldChar w:fldCharType="begin"/>
    </w:r>
    <w:r w:rsidR="006265D2">
      <w:rPr>
        <w:rStyle w:val="PageNumber"/>
      </w:rPr>
      <w:instrText xml:space="preserve">PAGE  </w:instrText>
    </w:r>
    <w:r>
      <w:rPr>
        <w:rStyle w:val="PageNumber"/>
      </w:rPr>
      <w:fldChar w:fldCharType="end"/>
    </w:r>
  </w:p>
  <w:p w:rsidR="006265D2" w:rsidRDefault="006265D2" w:rsidP="00FF2A8D">
    <w:pPr>
      <w:pStyle w:val="Footer"/>
      <w:ind w:right="360"/>
    </w:pP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Pr="00AD5254" w:rsidRDefault="00A33891" w:rsidP="00FF2A8D">
    <w:pPr>
      <w:pStyle w:val="Footer"/>
      <w:framePr w:wrap="around" w:vAnchor="text" w:hAnchor="margin" w:xAlign="center" w:y="1"/>
      <w:jc w:val="center"/>
      <w:rPr>
        <w:rStyle w:val="PageNumber"/>
      </w:rPr>
    </w:pPr>
    <w:r w:rsidRPr="00AD5254">
      <w:rPr>
        <w:rStyle w:val="PageNumber"/>
        <w:rFonts w:ascii="Times New Roman" w:hAnsi="Times New Roman"/>
        <w:sz w:val="24"/>
      </w:rPr>
      <w:fldChar w:fldCharType="begin"/>
    </w:r>
    <w:r w:rsidR="006265D2" w:rsidRPr="00AD5254">
      <w:rPr>
        <w:rStyle w:val="PageNumber"/>
        <w:rFonts w:ascii="Times New Roman" w:hAnsi="Times New Roman"/>
        <w:sz w:val="24"/>
      </w:rPr>
      <w:instrText xml:space="preserve">PAGE  </w:instrText>
    </w:r>
    <w:r w:rsidRPr="00AD5254">
      <w:rPr>
        <w:rStyle w:val="PageNumber"/>
        <w:rFonts w:ascii="Times New Roman" w:hAnsi="Times New Roman"/>
        <w:sz w:val="24"/>
      </w:rPr>
      <w:fldChar w:fldCharType="separate"/>
    </w:r>
    <w:r w:rsidR="00C01440">
      <w:rPr>
        <w:rStyle w:val="PageNumber"/>
        <w:rFonts w:ascii="Times New Roman" w:hAnsi="Times New Roman"/>
        <w:noProof/>
        <w:sz w:val="24"/>
      </w:rPr>
      <w:t>36</w:t>
    </w:r>
    <w:r w:rsidRPr="00AD5254">
      <w:rPr>
        <w:rStyle w:val="PageNumber"/>
        <w:rFonts w:ascii="Times New Roman" w:hAnsi="Times New Roman"/>
        <w:sz w:val="24"/>
      </w:rPr>
      <w:fldChar w:fldCharType="end"/>
    </w:r>
  </w:p>
  <w:p w:rsidR="006265D2" w:rsidRPr="00AD5254" w:rsidRDefault="006265D2" w:rsidP="00FF2A8D">
    <w:pPr>
      <w:pStyle w:val="Footer"/>
      <w:ind w:right="360"/>
      <w:jc w:val="center"/>
      <w:rPr>
        <w:rFonts w:ascii="Times New Roman" w:hAnsi="Times New Roman"/>
        <w:sz w:val="24"/>
      </w:rPr>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Default="00A33891" w:rsidP="00FF2A8D">
    <w:pPr>
      <w:pStyle w:val="Footer"/>
      <w:framePr w:wrap="around" w:vAnchor="text" w:hAnchor="margin" w:xAlign="center" w:y="1"/>
      <w:rPr>
        <w:rStyle w:val="PageNumber"/>
      </w:rPr>
    </w:pPr>
    <w:r>
      <w:rPr>
        <w:rStyle w:val="PageNumber"/>
      </w:rPr>
      <w:fldChar w:fldCharType="begin"/>
    </w:r>
    <w:r w:rsidR="006265D2">
      <w:rPr>
        <w:rStyle w:val="PageNumber"/>
      </w:rPr>
      <w:instrText xml:space="preserve">PAGE  </w:instrText>
    </w:r>
    <w:r>
      <w:rPr>
        <w:rStyle w:val="PageNumber"/>
      </w:rPr>
      <w:fldChar w:fldCharType="end"/>
    </w:r>
  </w:p>
  <w:p w:rsidR="006265D2" w:rsidRDefault="006265D2" w:rsidP="00FF2A8D">
    <w:pPr>
      <w:pStyle w:val="Footer"/>
      <w:ind w:right="360"/>
    </w:pP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Pr="00AD5254" w:rsidRDefault="00A33891" w:rsidP="00FF2A8D">
    <w:pPr>
      <w:pStyle w:val="Footer"/>
      <w:framePr w:wrap="around" w:vAnchor="text" w:hAnchor="margin" w:xAlign="center" w:y="1"/>
      <w:jc w:val="center"/>
      <w:rPr>
        <w:rStyle w:val="PageNumber"/>
      </w:rPr>
    </w:pPr>
    <w:r w:rsidRPr="00AD5254">
      <w:rPr>
        <w:rStyle w:val="PageNumber"/>
        <w:rFonts w:ascii="Times New Roman" w:hAnsi="Times New Roman"/>
        <w:sz w:val="24"/>
      </w:rPr>
      <w:fldChar w:fldCharType="begin"/>
    </w:r>
    <w:r w:rsidR="006265D2" w:rsidRPr="00AD5254">
      <w:rPr>
        <w:rStyle w:val="PageNumber"/>
        <w:rFonts w:ascii="Times New Roman" w:hAnsi="Times New Roman"/>
        <w:sz w:val="24"/>
      </w:rPr>
      <w:instrText xml:space="preserve">PAGE  </w:instrText>
    </w:r>
    <w:r w:rsidRPr="00AD5254">
      <w:rPr>
        <w:rStyle w:val="PageNumber"/>
        <w:rFonts w:ascii="Times New Roman" w:hAnsi="Times New Roman"/>
        <w:sz w:val="24"/>
      </w:rPr>
      <w:fldChar w:fldCharType="separate"/>
    </w:r>
    <w:r w:rsidR="00C01440">
      <w:rPr>
        <w:rStyle w:val="PageNumber"/>
        <w:rFonts w:ascii="Times New Roman" w:hAnsi="Times New Roman"/>
        <w:noProof/>
        <w:sz w:val="24"/>
      </w:rPr>
      <w:t>52</w:t>
    </w:r>
    <w:r w:rsidRPr="00AD5254">
      <w:rPr>
        <w:rStyle w:val="PageNumber"/>
        <w:rFonts w:ascii="Times New Roman" w:hAnsi="Times New Roman"/>
        <w:sz w:val="24"/>
      </w:rPr>
      <w:fldChar w:fldCharType="end"/>
    </w:r>
  </w:p>
  <w:p w:rsidR="006265D2" w:rsidRPr="00AD5254" w:rsidRDefault="006265D2" w:rsidP="00FF2A8D">
    <w:pPr>
      <w:pStyle w:val="Footer"/>
      <w:ind w:right="360"/>
      <w:jc w:val="center"/>
      <w:rPr>
        <w:rFonts w:ascii="Times New Roman" w:hAnsi="Times New Roman"/>
        <w:sz w:val="24"/>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265D2" w:rsidRDefault="006265D2">
      <w:pPr>
        <w:spacing w:line="240" w:lineRule="auto"/>
      </w:pPr>
      <w:r>
        <w:separator/>
      </w:r>
    </w:p>
  </w:footnote>
  <w:footnote w:type="continuationSeparator" w:id="1">
    <w:p w:rsidR="006265D2" w:rsidRDefault="006265D2">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45A8" w:rsidRPr="00992780" w:rsidRDefault="00B645A8" w:rsidP="00A01DB7">
    <w:pPr>
      <w:pStyle w:val="Header"/>
      <w:jc w:val="right"/>
      <w:rPr>
        <w:rFonts w:ascii="Times New Roman" w:hAnsi="Times New Roman"/>
        <w:sz w:val="24"/>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Pr="00992780" w:rsidRDefault="006265D2" w:rsidP="00FF2A8D">
    <w:pPr>
      <w:pStyle w:val="Header"/>
      <w:jc w:val="right"/>
      <w:rPr>
        <w:rFonts w:ascii="Times New Roman" w:hAnsi="Times New Roman"/>
        <w:sz w:val="24"/>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Pr="00992780" w:rsidRDefault="006265D2" w:rsidP="00FF2A8D">
    <w:pPr>
      <w:pStyle w:val="Header"/>
      <w:jc w:val="right"/>
      <w:rPr>
        <w:rFonts w:ascii="Times New Roman" w:hAnsi="Times New Roman"/>
        <w:sz w:val="24"/>
      </w:rP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65D2" w:rsidRPr="00992780" w:rsidRDefault="006265D2" w:rsidP="00FF2A8D">
    <w:pPr>
      <w:pStyle w:val="Header"/>
      <w:jc w:val="right"/>
      <w:rPr>
        <w:rFonts w:ascii="Times New Roman" w:hAnsi="Times New Roman"/>
        <w:sz w:val="24"/>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D60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149842"/>
    <w:lvl w:ilvl="0">
      <w:start w:val="1"/>
      <w:numFmt w:val="decimal"/>
      <w:lvlText w:val="%1."/>
      <w:lvlJc w:val="left"/>
      <w:pPr>
        <w:tabs>
          <w:tab w:val="num" w:pos="1492"/>
        </w:tabs>
        <w:ind w:left="1492" w:hanging="360"/>
      </w:pPr>
    </w:lvl>
  </w:abstractNum>
  <w:abstractNum w:abstractNumId="2">
    <w:nsid w:val="FFFFFF7D"/>
    <w:multiLevelType w:val="singleLevel"/>
    <w:tmpl w:val="50703000"/>
    <w:lvl w:ilvl="0">
      <w:start w:val="1"/>
      <w:numFmt w:val="decimal"/>
      <w:lvlText w:val="%1."/>
      <w:lvlJc w:val="left"/>
      <w:pPr>
        <w:tabs>
          <w:tab w:val="num" w:pos="1209"/>
        </w:tabs>
        <w:ind w:left="1209" w:hanging="360"/>
      </w:pPr>
    </w:lvl>
  </w:abstractNum>
  <w:abstractNum w:abstractNumId="3">
    <w:nsid w:val="FFFFFF7E"/>
    <w:multiLevelType w:val="singleLevel"/>
    <w:tmpl w:val="CDACB7A2"/>
    <w:lvl w:ilvl="0">
      <w:start w:val="1"/>
      <w:numFmt w:val="decimal"/>
      <w:lvlText w:val="%1."/>
      <w:lvlJc w:val="left"/>
      <w:pPr>
        <w:tabs>
          <w:tab w:val="num" w:pos="926"/>
        </w:tabs>
        <w:ind w:left="926" w:hanging="360"/>
      </w:pPr>
    </w:lvl>
  </w:abstractNum>
  <w:abstractNum w:abstractNumId="4">
    <w:nsid w:val="FFFFFF7F"/>
    <w:multiLevelType w:val="singleLevel"/>
    <w:tmpl w:val="47584CA6"/>
    <w:lvl w:ilvl="0">
      <w:start w:val="1"/>
      <w:numFmt w:val="decimal"/>
      <w:lvlText w:val="%1."/>
      <w:lvlJc w:val="left"/>
      <w:pPr>
        <w:tabs>
          <w:tab w:val="num" w:pos="643"/>
        </w:tabs>
        <w:ind w:left="643" w:hanging="360"/>
      </w:pPr>
    </w:lvl>
  </w:abstractNum>
  <w:abstractNum w:abstractNumId="5">
    <w:nsid w:val="FFFFFF80"/>
    <w:multiLevelType w:val="singleLevel"/>
    <w:tmpl w:val="454AB0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BCE2C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BC2D1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3EA4B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3DA69DA"/>
    <w:lvl w:ilvl="0">
      <w:start w:val="1"/>
      <w:numFmt w:val="decimal"/>
      <w:lvlText w:val="%1."/>
      <w:lvlJc w:val="left"/>
      <w:pPr>
        <w:tabs>
          <w:tab w:val="num" w:pos="360"/>
        </w:tabs>
        <w:ind w:left="360" w:hanging="360"/>
      </w:pPr>
    </w:lvl>
  </w:abstractNum>
  <w:abstractNum w:abstractNumId="10">
    <w:nsid w:val="FFFFFF89"/>
    <w:multiLevelType w:val="singleLevel"/>
    <w:tmpl w:val="5372CC9C"/>
    <w:lvl w:ilvl="0">
      <w:start w:val="1"/>
      <w:numFmt w:val="bullet"/>
      <w:lvlText w:val=""/>
      <w:lvlJc w:val="left"/>
      <w:pPr>
        <w:tabs>
          <w:tab w:val="num" w:pos="360"/>
        </w:tabs>
        <w:ind w:left="360" w:hanging="360"/>
      </w:pPr>
      <w:rPr>
        <w:rFonts w:ascii="Symbol" w:hAnsi="Symbol" w:hint="default"/>
      </w:rPr>
    </w:lvl>
  </w:abstractNum>
  <w:abstractNum w:abstractNumId="11">
    <w:nsid w:val="01432557"/>
    <w:multiLevelType w:val="multilevel"/>
    <w:tmpl w:val="7CD4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FF3C0A"/>
    <w:multiLevelType w:val="hybridMultilevel"/>
    <w:tmpl w:val="1088ACA2"/>
    <w:lvl w:ilvl="0" w:tplc="C734B0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F6148"/>
    <w:multiLevelType w:val="hybridMultilevel"/>
    <w:tmpl w:val="099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C7CE6"/>
    <w:multiLevelType w:val="hybridMultilevel"/>
    <w:tmpl w:val="96B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A4B2C"/>
    <w:multiLevelType w:val="hybridMultilevel"/>
    <w:tmpl w:val="D624B800"/>
    <w:lvl w:ilvl="0" w:tplc="948646DC">
      <w:start w:val="1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340CB"/>
    <w:multiLevelType w:val="multilevel"/>
    <w:tmpl w:val="E720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178EC"/>
    <w:multiLevelType w:val="hybridMultilevel"/>
    <w:tmpl w:val="5F9A16D6"/>
    <w:lvl w:ilvl="0" w:tplc="290E7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D01E2"/>
    <w:multiLevelType w:val="multilevel"/>
    <w:tmpl w:val="D07CA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C334BC"/>
    <w:multiLevelType w:val="hybridMultilevel"/>
    <w:tmpl w:val="B4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A2223"/>
    <w:multiLevelType w:val="hybridMultilevel"/>
    <w:tmpl w:val="01AC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D3B51"/>
    <w:multiLevelType w:val="multilevel"/>
    <w:tmpl w:val="C0F40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200B2F"/>
    <w:multiLevelType w:val="multilevel"/>
    <w:tmpl w:val="579688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35054D"/>
    <w:multiLevelType w:val="hybridMultilevel"/>
    <w:tmpl w:val="B4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44FBB"/>
    <w:multiLevelType w:val="hybridMultilevel"/>
    <w:tmpl w:val="94F86A1E"/>
    <w:lvl w:ilvl="0" w:tplc="C598E4A0">
      <w:start w:val="1"/>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EF0EF5"/>
    <w:multiLevelType w:val="hybridMultilevel"/>
    <w:tmpl w:val="D38A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63354"/>
    <w:multiLevelType w:val="hybridMultilevel"/>
    <w:tmpl w:val="801660F8"/>
    <w:lvl w:ilvl="0" w:tplc="6574B33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D2B1C"/>
    <w:multiLevelType w:val="hybridMultilevel"/>
    <w:tmpl w:val="38B01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5700F1"/>
    <w:multiLevelType w:val="hybridMultilevel"/>
    <w:tmpl w:val="A2A4FC60"/>
    <w:lvl w:ilvl="0" w:tplc="09289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73BF0"/>
    <w:multiLevelType w:val="hybridMultilevel"/>
    <w:tmpl w:val="7F1E1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13540"/>
    <w:multiLevelType w:val="multilevel"/>
    <w:tmpl w:val="D632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326DE1"/>
    <w:multiLevelType w:val="hybridMultilevel"/>
    <w:tmpl w:val="F0324818"/>
    <w:lvl w:ilvl="0" w:tplc="12E073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4"/>
  </w:num>
  <w:num w:numId="3">
    <w:abstractNumId w:val="24"/>
  </w:num>
  <w:num w:numId="4">
    <w:abstractNumId w:val="27"/>
  </w:num>
  <w:num w:numId="5">
    <w:abstractNumId w:val="0"/>
  </w:num>
  <w:num w:numId="6">
    <w:abstractNumId w:val="20"/>
  </w:num>
  <w:num w:numId="7">
    <w:abstractNumId w:val="19"/>
  </w:num>
  <w:num w:numId="8">
    <w:abstractNumId w:val="23"/>
  </w:num>
  <w:num w:numId="9">
    <w:abstractNumId w:val="13"/>
  </w:num>
  <w:num w:numId="10">
    <w:abstractNumId w:val="25"/>
  </w:num>
  <w:num w:numId="11">
    <w:abstractNumId w:val="15"/>
  </w:num>
  <w:num w:numId="12">
    <w:abstractNumId w:val="12"/>
  </w:num>
  <w:num w:numId="13">
    <w:abstractNumId w:val="26"/>
  </w:num>
  <w:num w:numId="14">
    <w:abstractNumId w:val="17"/>
  </w:num>
  <w:num w:numId="15">
    <w:abstractNumId w:val="28"/>
  </w:num>
  <w:num w:numId="16">
    <w:abstractNumId w:val="30"/>
  </w:num>
  <w:num w:numId="17">
    <w:abstractNumId w:val="18"/>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16"/>
  </w:num>
  <w:num w:numId="21">
    <w:abstractNumId w:val="11"/>
  </w:num>
  <w:num w:numId="22">
    <w:abstractNumId w:val="31"/>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displayBackgroundShape/>
  <w:stylePaneFormatFilter w:val="1004"/>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CB2324"/>
    <w:rsid w:val="00007D6D"/>
    <w:rsid w:val="0002695A"/>
    <w:rsid w:val="00026A88"/>
    <w:rsid w:val="00030B3E"/>
    <w:rsid w:val="00085B12"/>
    <w:rsid w:val="000C0A3D"/>
    <w:rsid w:val="000D24DE"/>
    <w:rsid w:val="00105FD0"/>
    <w:rsid w:val="00107572"/>
    <w:rsid w:val="001207AD"/>
    <w:rsid w:val="00151437"/>
    <w:rsid w:val="002426B7"/>
    <w:rsid w:val="00244A83"/>
    <w:rsid w:val="00271CA3"/>
    <w:rsid w:val="002A2443"/>
    <w:rsid w:val="002A64BC"/>
    <w:rsid w:val="002B6C80"/>
    <w:rsid w:val="002D18DF"/>
    <w:rsid w:val="0033103C"/>
    <w:rsid w:val="0034126B"/>
    <w:rsid w:val="003516C5"/>
    <w:rsid w:val="00380618"/>
    <w:rsid w:val="003B006A"/>
    <w:rsid w:val="003E52D0"/>
    <w:rsid w:val="003F359E"/>
    <w:rsid w:val="00481AAB"/>
    <w:rsid w:val="004A565F"/>
    <w:rsid w:val="004B3B5E"/>
    <w:rsid w:val="004F09D8"/>
    <w:rsid w:val="004F2DF6"/>
    <w:rsid w:val="004F5261"/>
    <w:rsid w:val="00505D2C"/>
    <w:rsid w:val="00520035"/>
    <w:rsid w:val="00562922"/>
    <w:rsid w:val="00596801"/>
    <w:rsid w:val="005A4D06"/>
    <w:rsid w:val="005B3641"/>
    <w:rsid w:val="005E0B85"/>
    <w:rsid w:val="006265D2"/>
    <w:rsid w:val="006268AE"/>
    <w:rsid w:val="0066247C"/>
    <w:rsid w:val="00672EF5"/>
    <w:rsid w:val="006751BD"/>
    <w:rsid w:val="00675BFC"/>
    <w:rsid w:val="00680E58"/>
    <w:rsid w:val="00697009"/>
    <w:rsid w:val="006A3125"/>
    <w:rsid w:val="006B2CCC"/>
    <w:rsid w:val="0071574A"/>
    <w:rsid w:val="00720C60"/>
    <w:rsid w:val="007735CC"/>
    <w:rsid w:val="007E6CF0"/>
    <w:rsid w:val="007F5CC0"/>
    <w:rsid w:val="0081602D"/>
    <w:rsid w:val="0083367D"/>
    <w:rsid w:val="008440F2"/>
    <w:rsid w:val="008940D6"/>
    <w:rsid w:val="008A6FF7"/>
    <w:rsid w:val="008C3DB9"/>
    <w:rsid w:val="008D655F"/>
    <w:rsid w:val="00950EAD"/>
    <w:rsid w:val="009A4F05"/>
    <w:rsid w:val="00A33891"/>
    <w:rsid w:val="00A361DA"/>
    <w:rsid w:val="00A37F60"/>
    <w:rsid w:val="00A703E2"/>
    <w:rsid w:val="00A74EA7"/>
    <w:rsid w:val="00B13E88"/>
    <w:rsid w:val="00B209B8"/>
    <w:rsid w:val="00B45415"/>
    <w:rsid w:val="00B465FC"/>
    <w:rsid w:val="00B575DB"/>
    <w:rsid w:val="00B645A8"/>
    <w:rsid w:val="00B84292"/>
    <w:rsid w:val="00BB7070"/>
    <w:rsid w:val="00BD4F2F"/>
    <w:rsid w:val="00C01440"/>
    <w:rsid w:val="00C278CF"/>
    <w:rsid w:val="00C9446A"/>
    <w:rsid w:val="00CB2324"/>
    <w:rsid w:val="00D73D18"/>
    <w:rsid w:val="00DD3434"/>
    <w:rsid w:val="00DF13EF"/>
    <w:rsid w:val="00E560C8"/>
    <w:rsid w:val="00E625E7"/>
    <w:rsid w:val="00E80B3C"/>
    <w:rsid w:val="00E968A7"/>
    <w:rsid w:val="00EA4831"/>
    <w:rsid w:val="00F0124D"/>
    <w:rsid w:val="00F2754D"/>
    <w:rsid w:val="00F44945"/>
    <w:rsid w:val="00F73235"/>
    <w:rsid w:val="00FA13C1"/>
    <w:rsid w:val="00FE53B2"/>
    <w:rsid w:val="00FF2A8D"/>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ＭＳ 明朝"/>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A45"/>
    <w:pPr>
      <w:spacing w:line="276" w:lineRule="auto"/>
    </w:pPr>
    <w:rPr>
      <w:color w:val="000000"/>
      <w:sz w:val="22"/>
    </w:rPr>
  </w:style>
  <w:style w:type="paragraph" w:styleId="Heading1">
    <w:name w:val="heading 1"/>
    <w:basedOn w:val="Normal1"/>
    <w:next w:val="Normal1"/>
    <w:link w:val="Heading1Char"/>
    <w:qFormat/>
    <w:rsid w:val="00CB2324"/>
    <w:pPr>
      <w:keepNext/>
      <w:keepLines/>
      <w:spacing w:before="200"/>
      <w:contextualSpacing/>
      <w:outlineLvl w:val="0"/>
    </w:pPr>
    <w:rPr>
      <w:rFonts w:ascii="Trebuchet MS" w:eastAsia="Trebuchet MS" w:hAnsi="Trebuchet MS" w:cs="Times New Roman"/>
      <w:color w:val="auto"/>
      <w:sz w:val="32"/>
    </w:rPr>
  </w:style>
  <w:style w:type="paragraph" w:styleId="Heading2">
    <w:name w:val="heading 2"/>
    <w:basedOn w:val="Normal1"/>
    <w:next w:val="Normal1"/>
    <w:link w:val="Heading2Char"/>
    <w:qFormat/>
    <w:rsid w:val="00CB2324"/>
    <w:pPr>
      <w:keepNext/>
      <w:keepLines/>
      <w:spacing w:before="200"/>
      <w:contextualSpacing/>
      <w:outlineLvl w:val="1"/>
    </w:pPr>
    <w:rPr>
      <w:rFonts w:ascii="Trebuchet MS" w:eastAsia="Trebuchet MS" w:hAnsi="Trebuchet MS" w:cs="Times New Roman"/>
      <w:b/>
      <w:color w:val="auto"/>
      <w:sz w:val="26"/>
    </w:rPr>
  </w:style>
  <w:style w:type="paragraph" w:styleId="Heading3">
    <w:name w:val="heading 3"/>
    <w:basedOn w:val="Normal1"/>
    <w:next w:val="Normal1"/>
    <w:link w:val="Heading3Char"/>
    <w:qFormat/>
    <w:rsid w:val="00CB2324"/>
    <w:pPr>
      <w:keepNext/>
      <w:keepLines/>
      <w:spacing w:before="160"/>
      <w:contextualSpacing/>
      <w:outlineLvl w:val="2"/>
    </w:pPr>
    <w:rPr>
      <w:rFonts w:ascii="Trebuchet MS" w:eastAsia="Trebuchet MS" w:hAnsi="Trebuchet MS" w:cs="Times New Roman"/>
      <w:b/>
      <w:color w:val="666666"/>
      <w:sz w:val="24"/>
    </w:rPr>
  </w:style>
  <w:style w:type="paragraph" w:styleId="Heading4">
    <w:name w:val="heading 4"/>
    <w:basedOn w:val="Normal1"/>
    <w:next w:val="Normal1"/>
    <w:link w:val="Heading4Char"/>
    <w:qFormat/>
    <w:rsid w:val="00CB2324"/>
    <w:pPr>
      <w:keepNext/>
      <w:keepLines/>
      <w:spacing w:before="160"/>
      <w:contextualSpacing/>
      <w:outlineLvl w:val="3"/>
    </w:pPr>
    <w:rPr>
      <w:rFonts w:ascii="Trebuchet MS" w:eastAsia="Trebuchet MS" w:hAnsi="Trebuchet MS" w:cs="Times New Roman"/>
      <w:color w:val="666666"/>
      <w:sz w:val="20"/>
      <w:u w:val="single"/>
    </w:rPr>
  </w:style>
  <w:style w:type="paragraph" w:styleId="Heading5">
    <w:name w:val="heading 5"/>
    <w:basedOn w:val="Normal1"/>
    <w:next w:val="Normal1"/>
    <w:qFormat/>
    <w:rsid w:val="00CB232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qFormat/>
    <w:rsid w:val="00CB232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CB2324"/>
    <w:pPr>
      <w:spacing w:line="276" w:lineRule="auto"/>
    </w:pPr>
    <w:rPr>
      <w:color w:val="000000"/>
      <w:sz w:val="22"/>
    </w:rPr>
  </w:style>
  <w:style w:type="paragraph" w:styleId="Title">
    <w:name w:val="Title"/>
    <w:basedOn w:val="Normal1"/>
    <w:next w:val="Normal1"/>
    <w:qFormat/>
    <w:rsid w:val="00CB2324"/>
    <w:pPr>
      <w:keepNext/>
      <w:keepLines/>
      <w:contextualSpacing/>
    </w:pPr>
    <w:rPr>
      <w:rFonts w:ascii="Trebuchet MS" w:eastAsia="Trebuchet MS" w:hAnsi="Trebuchet MS" w:cs="Trebuchet MS"/>
      <w:sz w:val="42"/>
    </w:rPr>
  </w:style>
  <w:style w:type="paragraph" w:styleId="Subtitle">
    <w:name w:val="Subtitle"/>
    <w:basedOn w:val="Normal1"/>
    <w:next w:val="Normal1"/>
    <w:qFormat/>
    <w:rsid w:val="00CB2324"/>
    <w:pPr>
      <w:keepNext/>
      <w:keepLines/>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AD5254"/>
    <w:pPr>
      <w:tabs>
        <w:tab w:val="center" w:pos="4320"/>
        <w:tab w:val="right" w:pos="8640"/>
      </w:tabs>
      <w:spacing w:line="240" w:lineRule="auto"/>
    </w:pPr>
  </w:style>
  <w:style w:type="character" w:customStyle="1" w:styleId="FooterChar">
    <w:name w:val="Footer Char"/>
    <w:basedOn w:val="DefaultParagraphFont"/>
    <w:link w:val="Footer"/>
    <w:uiPriority w:val="99"/>
    <w:rsid w:val="00AD5254"/>
  </w:style>
  <w:style w:type="character" w:styleId="PageNumber">
    <w:name w:val="page number"/>
    <w:basedOn w:val="DefaultParagraphFont"/>
    <w:unhideWhenUsed/>
    <w:rsid w:val="00AD5254"/>
  </w:style>
  <w:style w:type="paragraph" w:styleId="Header">
    <w:name w:val="header"/>
    <w:basedOn w:val="Normal"/>
    <w:link w:val="HeaderChar"/>
    <w:uiPriority w:val="99"/>
    <w:semiHidden/>
    <w:unhideWhenUsed/>
    <w:rsid w:val="00AD5254"/>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D5254"/>
  </w:style>
  <w:style w:type="character" w:styleId="CommentReference">
    <w:name w:val="annotation reference"/>
    <w:uiPriority w:val="99"/>
    <w:semiHidden/>
    <w:unhideWhenUsed/>
    <w:rsid w:val="006D72FE"/>
    <w:rPr>
      <w:sz w:val="18"/>
      <w:szCs w:val="18"/>
    </w:rPr>
  </w:style>
  <w:style w:type="paragraph" w:styleId="CommentText">
    <w:name w:val="annotation text"/>
    <w:basedOn w:val="Normal"/>
    <w:link w:val="CommentTextChar"/>
    <w:uiPriority w:val="99"/>
    <w:semiHidden/>
    <w:unhideWhenUsed/>
    <w:rsid w:val="006D72FE"/>
    <w:pPr>
      <w:widowControl w:val="0"/>
      <w:spacing w:line="240" w:lineRule="auto"/>
      <w:jc w:val="both"/>
    </w:pPr>
    <w:rPr>
      <w:rFonts w:ascii="Times New Roman" w:eastAsia="SimSun" w:hAnsi="Times New Roman" w:cs="Times New Roman"/>
      <w:color w:val="auto"/>
      <w:kern w:val="2"/>
      <w:sz w:val="24"/>
      <w:szCs w:val="24"/>
      <w:lang w:eastAsia="zh-CN"/>
    </w:rPr>
  </w:style>
  <w:style w:type="character" w:customStyle="1" w:styleId="CommentTextChar">
    <w:name w:val="Comment Text Char"/>
    <w:link w:val="CommentText"/>
    <w:uiPriority w:val="99"/>
    <w:semiHidden/>
    <w:rsid w:val="006D72FE"/>
    <w:rPr>
      <w:rFonts w:ascii="Times New Roman" w:eastAsia="SimSun" w:hAnsi="Times New Roman" w:cs="Times New Roman"/>
      <w:color w:val="auto"/>
      <w:kern w:val="2"/>
      <w:sz w:val="24"/>
      <w:szCs w:val="24"/>
      <w:lang w:eastAsia="zh-CN"/>
    </w:rPr>
  </w:style>
  <w:style w:type="paragraph" w:styleId="BalloonText">
    <w:name w:val="Balloon Text"/>
    <w:basedOn w:val="Normal"/>
    <w:link w:val="BalloonTextChar"/>
    <w:uiPriority w:val="99"/>
    <w:semiHidden/>
    <w:unhideWhenUsed/>
    <w:rsid w:val="006D72FE"/>
    <w:pPr>
      <w:spacing w:line="240" w:lineRule="auto"/>
    </w:pPr>
    <w:rPr>
      <w:rFonts w:ascii="Lucida Grande" w:hAnsi="Lucida Grande" w:cs="Times New Roman"/>
      <w:color w:val="auto"/>
      <w:sz w:val="18"/>
      <w:szCs w:val="18"/>
    </w:rPr>
  </w:style>
  <w:style w:type="character" w:customStyle="1" w:styleId="BalloonTextChar">
    <w:name w:val="Balloon Text Char"/>
    <w:link w:val="BalloonText"/>
    <w:uiPriority w:val="99"/>
    <w:semiHidden/>
    <w:rsid w:val="006D72FE"/>
    <w:rPr>
      <w:rFonts w:ascii="Lucida Grande" w:hAnsi="Lucida Grande"/>
      <w:sz w:val="18"/>
      <w:szCs w:val="18"/>
    </w:rPr>
  </w:style>
  <w:style w:type="paragraph" w:styleId="BodyTextIndent">
    <w:name w:val="Body Text Indent"/>
    <w:basedOn w:val="Normal"/>
    <w:link w:val="BodyTextIndentChar"/>
    <w:rsid w:val="007752F9"/>
    <w:pPr>
      <w:spacing w:line="240" w:lineRule="auto"/>
      <w:ind w:firstLine="720"/>
    </w:pPr>
    <w:rPr>
      <w:rFonts w:ascii="Times New Roman" w:eastAsia="Times New Roman" w:hAnsi="Times New Roman" w:cs="Times New Roman"/>
      <w:color w:val="auto"/>
      <w:sz w:val="24"/>
    </w:rPr>
  </w:style>
  <w:style w:type="character" w:customStyle="1" w:styleId="BodyTextIndentChar">
    <w:name w:val="Body Text Indent Char"/>
    <w:link w:val="BodyTextIndent"/>
    <w:rsid w:val="007752F9"/>
    <w:rPr>
      <w:rFonts w:ascii="Times New Roman" w:eastAsia="Times New Roman" w:hAnsi="Times New Roman" w:cs="Times New Roman"/>
      <w:color w:val="auto"/>
      <w:sz w:val="24"/>
    </w:rPr>
  </w:style>
  <w:style w:type="paragraph" w:customStyle="1" w:styleId="Style1">
    <w:name w:val="Style1"/>
    <w:basedOn w:val="Normal"/>
    <w:next w:val="Heading1"/>
    <w:qFormat/>
    <w:rsid w:val="00E84E5B"/>
    <w:pPr>
      <w:widowControl w:val="0"/>
      <w:spacing w:line="480" w:lineRule="auto"/>
      <w:jc w:val="center"/>
      <w:outlineLvl w:val="0"/>
    </w:pPr>
    <w:rPr>
      <w:rFonts w:ascii="Times New Roman" w:eastAsia="Cambria" w:hAnsi="Times New Roman" w:cs="Times New Roman"/>
      <w:b/>
      <w:color w:val="auto"/>
      <w:kern w:val="2"/>
      <w:sz w:val="24"/>
      <w:szCs w:val="24"/>
      <w:lang w:val="es-ES_tradnl" w:eastAsia="zh-CN"/>
    </w:rPr>
  </w:style>
  <w:style w:type="character" w:customStyle="1" w:styleId="Heading1Char">
    <w:name w:val="Heading 1 Char"/>
    <w:link w:val="Heading1"/>
    <w:rsid w:val="00E84E5B"/>
    <w:rPr>
      <w:rFonts w:ascii="Trebuchet MS" w:eastAsia="Trebuchet MS" w:hAnsi="Trebuchet MS" w:cs="Trebuchet MS"/>
      <w:sz w:val="32"/>
    </w:rPr>
  </w:style>
  <w:style w:type="paragraph" w:styleId="TOC2">
    <w:name w:val="toc 2"/>
    <w:basedOn w:val="Normal"/>
    <w:next w:val="Normal"/>
    <w:autoRedefine/>
    <w:uiPriority w:val="39"/>
    <w:rsid w:val="00E84E5B"/>
    <w:pPr>
      <w:widowControl w:val="0"/>
      <w:spacing w:line="240" w:lineRule="auto"/>
      <w:ind w:left="200"/>
      <w:jc w:val="both"/>
    </w:pPr>
    <w:rPr>
      <w:rFonts w:ascii="Times New Roman" w:eastAsia="Cambria" w:hAnsi="Times New Roman" w:cs="Times New Roman"/>
      <w:b/>
      <w:color w:val="auto"/>
      <w:kern w:val="2"/>
      <w:sz w:val="24"/>
      <w:szCs w:val="22"/>
      <w:lang w:eastAsia="zh-CN"/>
    </w:rPr>
  </w:style>
  <w:style w:type="character" w:customStyle="1" w:styleId="Heading2Char">
    <w:name w:val="Heading 2 Char"/>
    <w:link w:val="Heading2"/>
    <w:rsid w:val="00E84E5B"/>
    <w:rPr>
      <w:rFonts w:ascii="Trebuchet MS" w:eastAsia="Trebuchet MS" w:hAnsi="Trebuchet MS" w:cs="Trebuchet MS"/>
      <w:b/>
      <w:sz w:val="26"/>
    </w:rPr>
  </w:style>
  <w:style w:type="character" w:customStyle="1" w:styleId="Heading3Char">
    <w:name w:val="Heading 3 Char"/>
    <w:link w:val="Heading3"/>
    <w:rsid w:val="00E84E5B"/>
    <w:rPr>
      <w:rFonts w:ascii="Trebuchet MS" w:eastAsia="Trebuchet MS" w:hAnsi="Trebuchet MS" w:cs="Trebuchet MS"/>
      <w:b/>
      <w:color w:val="666666"/>
      <w:sz w:val="24"/>
    </w:rPr>
  </w:style>
  <w:style w:type="character" w:customStyle="1" w:styleId="Heading4Char">
    <w:name w:val="Heading 4 Char"/>
    <w:link w:val="Heading4"/>
    <w:rsid w:val="00E84E5B"/>
    <w:rPr>
      <w:rFonts w:ascii="Trebuchet MS" w:eastAsia="Trebuchet MS" w:hAnsi="Trebuchet MS" w:cs="Trebuchet MS"/>
      <w:color w:val="666666"/>
      <w:u w:val="single"/>
    </w:rPr>
  </w:style>
  <w:style w:type="paragraph" w:styleId="TOC1">
    <w:name w:val="toc 1"/>
    <w:basedOn w:val="Normal"/>
    <w:next w:val="Normal"/>
    <w:autoRedefine/>
    <w:uiPriority w:val="39"/>
    <w:rsid w:val="00E84E5B"/>
    <w:pPr>
      <w:widowControl w:val="0"/>
      <w:spacing w:line="240" w:lineRule="auto"/>
    </w:pPr>
    <w:rPr>
      <w:rFonts w:ascii="Times New Roman" w:eastAsia="Cambria" w:hAnsi="Times New Roman" w:cs="Times New Roman"/>
      <w:b/>
      <w:color w:val="auto"/>
      <w:kern w:val="2"/>
      <w:sz w:val="24"/>
      <w:szCs w:val="24"/>
      <w:lang w:eastAsia="zh-CN"/>
    </w:rPr>
  </w:style>
  <w:style w:type="paragraph" w:styleId="TOC3">
    <w:name w:val="toc 3"/>
    <w:basedOn w:val="Normal"/>
    <w:next w:val="Normal"/>
    <w:autoRedefine/>
    <w:uiPriority w:val="39"/>
    <w:rsid w:val="00E84E5B"/>
    <w:pPr>
      <w:widowControl w:val="0"/>
      <w:spacing w:line="240" w:lineRule="auto"/>
      <w:ind w:left="400"/>
    </w:pPr>
    <w:rPr>
      <w:rFonts w:ascii="Times New Roman" w:eastAsia="Cambria" w:hAnsi="Times New Roman" w:cs="Times New Roman"/>
      <w:color w:val="auto"/>
      <w:kern w:val="2"/>
      <w:sz w:val="24"/>
      <w:szCs w:val="22"/>
      <w:lang w:eastAsia="zh-CN"/>
    </w:rPr>
  </w:style>
  <w:style w:type="paragraph" w:styleId="TOC4">
    <w:name w:val="toc 4"/>
    <w:basedOn w:val="Normal"/>
    <w:next w:val="Normal"/>
    <w:autoRedefine/>
    <w:uiPriority w:val="39"/>
    <w:rsid w:val="00E84E5B"/>
    <w:pPr>
      <w:widowControl w:val="0"/>
      <w:spacing w:line="240" w:lineRule="auto"/>
      <w:ind w:left="600"/>
    </w:pPr>
    <w:rPr>
      <w:rFonts w:ascii="Times New Roman" w:eastAsia="Cambria" w:hAnsi="Times New Roman" w:cs="Times New Roman"/>
      <w:color w:val="auto"/>
      <w:kern w:val="2"/>
      <w:sz w:val="24"/>
      <w:lang w:eastAsia="zh-CN"/>
    </w:rPr>
  </w:style>
  <w:style w:type="paragraph" w:styleId="TableofFigures">
    <w:name w:val="table of figures"/>
    <w:basedOn w:val="Normal"/>
    <w:next w:val="Normal"/>
    <w:autoRedefine/>
    <w:uiPriority w:val="99"/>
    <w:rsid w:val="00E84E5B"/>
    <w:pPr>
      <w:widowControl w:val="0"/>
      <w:spacing w:line="240" w:lineRule="auto"/>
    </w:pPr>
    <w:rPr>
      <w:rFonts w:ascii="Times New Roman" w:eastAsia="Cambria" w:hAnsi="Times New Roman" w:cs="Times New Roman"/>
      <w:color w:val="auto"/>
      <w:kern w:val="2"/>
      <w:sz w:val="24"/>
      <w:lang w:eastAsia="zh-CN"/>
    </w:rPr>
  </w:style>
  <w:style w:type="paragraph" w:customStyle="1" w:styleId="Heading1Arial">
    <w:name w:val="Heading 1 Arial"/>
    <w:basedOn w:val="Heading1"/>
    <w:autoRedefine/>
    <w:qFormat/>
    <w:rsid w:val="00E84E5B"/>
    <w:pPr>
      <w:keepLines w:val="0"/>
      <w:widowControl w:val="0"/>
      <w:spacing w:before="240" w:after="60"/>
      <w:contextualSpacing w:val="0"/>
    </w:pPr>
    <w:rPr>
      <w:rFonts w:ascii="Arial" w:eastAsia="Times New Roman" w:hAnsi="Arial"/>
      <w:b/>
      <w:bCs/>
      <w:kern w:val="32"/>
      <w:sz w:val="24"/>
      <w:szCs w:val="32"/>
      <w:lang w:eastAsia="zh-CN"/>
    </w:rPr>
  </w:style>
  <w:style w:type="paragraph" w:customStyle="1" w:styleId="Heading2Arial">
    <w:name w:val="Heading 2 Arial"/>
    <w:basedOn w:val="Normal"/>
    <w:next w:val="Heading2"/>
    <w:autoRedefine/>
    <w:qFormat/>
    <w:rsid w:val="00E84E5B"/>
    <w:pPr>
      <w:widowControl w:val="0"/>
      <w:spacing w:after="200"/>
    </w:pPr>
    <w:rPr>
      <w:rFonts w:eastAsia="Calibri" w:cs="Times New Roman"/>
      <w:b/>
      <w:color w:val="auto"/>
      <w:kern w:val="2"/>
      <w:szCs w:val="22"/>
      <w:lang w:eastAsia="zh-CN"/>
    </w:rPr>
  </w:style>
  <w:style w:type="paragraph" w:customStyle="1" w:styleId="Heading3Arial">
    <w:name w:val="Heading 3 Arial"/>
    <w:basedOn w:val="Normal"/>
    <w:next w:val="Heading3"/>
    <w:autoRedefine/>
    <w:qFormat/>
    <w:rsid w:val="00E84E5B"/>
    <w:pPr>
      <w:widowControl w:val="0"/>
      <w:spacing w:after="200"/>
    </w:pPr>
    <w:rPr>
      <w:rFonts w:eastAsia="Calibri" w:cs="Times New Roman"/>
      <w:b/>
      <w:i/>
      <w:color w:val="auto"/>
      <w:kern w:val="2"/>
      <w:szCs w:val="15"/>
      <w:lang w:eastAsia="zh-CN"/>
    </w:rPr>
  </w:style>
  <w:style w:type="paragraph" w:styleId="BodyTextIndent2">
    <w:name w:val="Body Text Indent 2"/>
    <w:basedOn w:val="Normal"/>
    <w:link w:val="BodyTextIndent2Char"/>
    <w:rsid w:val="00E84E5B"/>
    <w:pPr>
      <w:widowControl w:val="0"/>
      <w:spacing w:after="120" w:line="480" w:lineRule="auto"/>
      <w:ind w:left="360"/>
      <w:jc w:val="both"/>
    </w:pPr>
    <w:rPr>
      <w:rFonts w:ascii="Times New Roman" w:eastAsia="SimSun" w:hAnsi="Times New Roman" w:cs="Times New Roman"/>
      <w:color w:val="auto"/>
      <w:kern w:val="2"/>
      <w:sz w:val="21"/>
      <w:szCs w:val="24"/>
      <w:lang w:eastAsia="zh-CN"/>
    </w:rPr>
  </w:style>
  <w:style w:type="character" w:customStyle="1" w:styleId="BodyTextIndent2Char">
    <w:name w:val="Body Text Indent 2 Char"/>
    <w:link w:val="BodyTextIndent2"/>
    <w:rsid w:val="00E84E5B"/>
    <w:rPr>
      <w:rFonts w:ascii="Times New Roman" w:eastAsia="SimSun" w:hAnsi="Times New Roman" w:cs="Times New Roman"/>
      <w:color w:val="auto"/>
      <w:kern w:val="2"/>
      <w:sz w:val="21"/>
      <w:szCs w:val="24"/>
      <w:lang w:eastAsia="zh-CN"/>
    </w:rPr>
  </w:style>
  <w:style w:type="paragraph" w:styleId="BodyText">
    <w:name w:val="Body Text"/>
    <w:basedOn w:val="Normal"/>
    <w:link w:val="BodyTextChar"/>
    <w:rsid w:val="00E84E5B"/>
    <w:pPr>
      <w:widowControl w:val="0"/>
      <w:spacing w:after="120" w:line="240" w:lineRule="auto"/>
      <w:jc w:val="both"/>
    </w:pPr>
    <w:rPr>
      <w:rFonts w:ascii="Times New Roman" w:eastAsia="SimSun" w:hAnsi="Times New Roman" w:cs="Times New Roman"/>
      <w:color w:val="auto"/>
      <w:kern w:val="2"/>
      <w:sz w:val="21"/>
      <w:szCs w:val="24"/>
      <w:lang w:eastAsia="zh-CN"/>
    </w:rPr>
  </w:style>
  <w:style w:type="character" w:customStyle="1" w:styleId="BodyTextChar">
    <w:name w:val="Body Text Char"/>
    <w:link w:val="BodyText"/>
    <w:rsid w:val="00E84E5B"/>
    <w:rPr>
      <w:rFonts w:ascii="Times New Roman" w:eastAsia="SimSun" w:hAnsi="Times New Roman" w:cs="Times New Roman"/>
      <w:color w:val="auto"/>
      <w:kern w:val="2"/>
      <w:sz w:val="21"/>
      <w:szCs w:val="24"/>
      <w:lang w:eastAsia="zh-CN"/>
    </w:rPr>
  </w:style>
  <w:style w:type="paragraph" w:styleId="FootnoteText">
    <w:name w:val="footnote text"/>
    <w:basedOn w:val="Normal"/>
    <w:link w:val="FootnoteTextChar"/>
    <w:rsid w:val="00E84E5B"/>
    <w:pPr>
      <w:widowControl w:val="0"/>
      <w:spacing w:line="240" w:lineRule="auto"/>
      <w:jc w:val="both"/>
    </w:pPr>
    <w:rPr>
      <w:rFonts w:ascii="Times New Roman" w:eastAsia="SimSun" w:hAnsi="Times New Roman" w:cs="Times New Roman"/>
      <w:color w:val="auto"/>
      <w:kern w:val="2"/>
      <w:sz w:val="20"/>
      <w:lang w:eastAsia="zh-CN"/>
    </w:rPr>
  </w:style>
  <w:style w:type="character" w:customStyle="1" w:styleId="FootnoteTextChar">
    <w:name w:val="Footnote Text Char"/>
    <w:link w:val="FootnoteText"/>
    <w:rsid w:val="00E84E5B"/>
    <w:rPr>
      <w:rFonts w:ascii="Times New Roman" w:eastAsia="SimSun" w:hAnsi="Times New Roman" w:cs="Times New Roman"/>
      <w:color w:val="auto"/>
      <w:kern w:val="2"/>
      <w:sz w:val="20"/>
      <w:lang w:eastAsia="zh-CN"/>
    </w:rPr>
  </w:style>
  <w:style w:type="character" w:styleId="FootnoteReference">
    <w:name w:val="footnote reference"/>
    <w:rsid w:val="00E84E5B"/>
    <w:rPr>
      <w:vertAlign w:val="superscript"/>
    </w:rPr>
  </w:style>
  <w:style w:type="character" w:styleId="Hyperlink">
    <w:name w:val="Hyperlink"/>
    <w:uiPriority w:val="99"/>
    <w:unhideWhenUsed/>
    <w:rsid w:val="00E84E5B"/>
    <w:rPr>
      <w:color w:val="0000FF"/>
      <w:u w:val="single"/>
    </w:rPr>
  </w:style>
  <w:style w:type="paragraph" w:styleId="CommentSubject">
    <w:name w:val="annotation subject"/>
    <w:basedOn w:val="CommentText"/>
    <w:next w:val="CommentText"/>
    <w:link w:val="CommentSubjectChar"/>
    <w:uiPriority w:val="99"/>
    <w:semiHidden/>
    <w:rsid w:val="00E84E5B"/>
    <w:rPr>
      <w:b/>
      <w:bCs/>
      <w:sz w:val="20"/>
    </w:rPr>
  </w:style>
  <w:style w:type="character" w:customStyle="1" w:styleId="CommentSubjectChar">
    <w:name w:val="Comment Subject Char"/>
    <w:link w:val="CommentSubject"/>
    <w:uiPriority w:val="99"/>
    <w:semiHidden/>
    <w:rsid w:val="00E84E5B"/>
    <w:rPr>
      <w:rFonts w:ascii="Times New Roman" w:eastAsia="SimSun" w:hAnsi="Times New Roman" w:cs="Times New Roman"/>
      <w:b/>
      <w:bCs/>
      <w:color w:val="auto"/>
      <w:kern w:val="2"/>
      <w:sz w:val="20"/>
      <w:szCs w:val="24"/>
      <w:lang w:eastAsia="zh-CN"/>
    </w:rPr>
  </w:style>
  <w:style w:type="paragraph" w:customStyle="1" w:styleId="ColorfulShading-Accent31">
    <w:name w:val="Colorful Shading - Accent 31"/>
    <w:basedOn w:val="Normal"/>
    <w:uiPriority w:val="34"/>
    <w:qFormat/>
    <w:rsid w:val="00E84E5B"/>
    <w:pPr>
      <w:widowControl w:val="0"/>
      <w:spacing w:line="240" w:lineRule="auto"/>
      <w:ind w:left="720"/>
      <w:contextualSpacing/>
      <w:jc w:val="both"/>
    </w:pPr>
    <w:rPr>
      <w:rFonts w:ascii="Times New Roman" w:eastAsia="SimSun" w:hAnsi="Times New Roman" w:cs="Times New Roman"/>
      <w:color w:val="auto"/>
      <w:kern w:val="2"/>
      <w:sz w:val="21"/>
      <w:szCs w:val="24"/>
      <w:lang w:eastAsia="zh-CN"/>
    </w:rPr>
  </w:style>
  <w:style w:type="character" w:customStyle="1" w:styleId="apple-converted-space">
    <w:name w:val="apple-converted-space"/>
    <w:basedOn w:val="DefaultParagraphFont"/>
    <w:rsid w:val="00E84E5B"/>
  </w:style>
  <w:style w:type="paragraph" w:customStyle="1" w:styleId="Default">
    <w:name w:val="Default"/>
    <w:rsid w:val="00E84E5B"/>
    <w:pPr>
      <w:widowControl w:val="0"/>
      <w:autoSpaceDE w:val="0"/>
      <w:autoSpaceDN w:val="0"/>
      <w:adjustRightInd w:val="0"/>
    </w:pPr>
    <w:rPr>
      <w:rFonts w:ascii="Times New Roman" w:eastAsia="SimSun" w:hAnsi="Times New Roman" w:cs="Times New Roman"/>
      <w:color w:val="000000"/>
      <w:sz w:val="24"/>
      <w:szCs w:val="24"/>
    </w:rPr>
  </w:style>
  <w:style w:type="paragraph" w:styleId="BodyText3">
    <w:name w:val="Body Text 3"/>
    <w:basedOn w:val="Normal"/>
    <w:link w:val="BodyText3Char"/>
    <w:rsid w:val="00E84E5B"/>
    <w:pPr>
      <w:widowControl w:val="0"/>
      <w:spacing w:after="120" w:line="240" w:lineRule="auto"/>
      <w:jc w:val="both"/>
    </w:pPr>
    <w:rPr>
      <w:rFonts w:ascii="Times New Roman" w:eastAsia="SimSun" w:hAnsi="Times New Roman" w:cs="Times New Roman"/>
      <w:color w:val="auto"/>
      <w:kern w:val="2"/>
      <w:sz w:val="16"/>
      <w:szCs w:val="16"/>
      <w:lang w:eastAsia="zh-CN"/>
    </w:rPr>
  </w:style>
  <w:style w:type="character" w:customStyle="1" w:styleId="BodyText3Char">
    <w:name w:val="Body Text 3 Char"/>
    <w:link w:val="BodyText3"/>
    <w:rsid w:val="00E84E5B"/>
    <w:rPr>
      <w:rFonts w:ascii="Times New Roman" w:eastAsia="SimSun" w:hAnsi="Times New Roman" w:cs="Times New Roman"/>
      <w:color w:val="auto"/>
      <w:kern w:val="2"/>
      <w:sz w:val="16"/>
      <w:szCs w:val="16"/>
      <w:lang w:eastAsia="zh-CN"/>
    </w:rPr>
  </w:style>
  <w:style w:type="character" w:styleId="Strong">
    <w:name w:val="Strong"/>
    <w:uiPriority w:val="22"/>
    <w:qFormat/>
    <w:rsid w:val="00E84E5B"/>
    <w:rPr>
      <w:b/>
    </w:rPr>
  </w:style>
  <w:style w:type="character" w:styleId="FollowedHyperlink">
    <w:name w:val="FollowedHyperlink"/>
    <w:rsid w:val="00E84E5B"/>
    <w:rPr>
      <w:color w:val="800080"/>
      <w:u w:val="single"/>
    </w:rPr>
  </w:style>
  <w:style w:type="character" w:customStyle="1" w:styleId="cit-sepcit-sep-before-article-doi">
    <w:name w:val="cit-sep cit-sep-before-article-doi"/>
    <w:basedOn w:val="DefaultParagraphFont"/>
    <w:rsid w:val="00E84E5B"/>
  </w:style>
  <w:style w:type="table" w:styleId="TableGrid">
    <w:name w:val="Table Grid"/>
    <w:basedOn w:val="TableNormal"/>
    <w:uiPriority w:val="59"/>
    <w:rsid w:val="00BC42E7"/>
    <w:rPr>
      <w:rFonts w:ascii="Cambria" w:eastAsia="Cambria"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uiPriority w:val="99"/>
    <w:semiHidden/>
    <w:rsid w:val="00D72456"/>
    <w:rPr>
      <w:rFonts w:ascii="Lucida Grande" w:hAnsi="Lucida Grande"/>
      <w:sz w:val="18"/>
      <w:szCs w:val="18"/>
    </w:rPr>
  </w:style>
  <w:style w:type="paragraph" w:customStyle="1" w:styleId="Pa11">
    <w:name w:val="Pa11"/>
    <w:basedOn w:val="Normal"/>
    <w:next w:val="Normal"/>
    <w:uiPriority w:val="99"/>
    <w:rsid w:val="00D72456"/>
    <w:pPr>
      <w:widowControl w:val="0"/>
      <w:autoSpaceDE w:val="0"/>
      <w:autoSpaceDN w:val="0"/>
      <w:adjustRightInd w:val="0"/>
      <w:spacing w:line="201" w:lineRule="atLeast"/>
    </w:pPr>
    <w:rPr>
      <w:rFonts w:ascii="Times New Roman" w:eastAsia="Cambria" w:hAnsi="Times New Roman" w:cs="Times New Roman"/>
      <w:color w:val="auto"/>
      <w:sz w:val="24"/>
      <w:szCs w:val="24"/>
    </w:rPr>
  </w:style>
  <w:style w:type="paragraph" w:customStyle="1" w:styleId="MediumGrid1-Accent21">
    <w:name w:val="Medium Grid 1 - Accent 21"/>
    <w:basedOn w:val="Normal"/>
    <w:uiPriority w:val="34"/>
    <w:qFormat/>
    <w:rsid w:val="00585B35"/>
    <w:pPr>
      <w:widowControl w:val="0"/>
      <w:spacing w:line="240" w:lineRule="auto"/>
      <w:ind w:left="720"/>
      <w:contextualSpacing/>
      <w:jc w:val="both"/>
    </w:pPr>
    <w:rPr>
      <w:rFonts w:ascii="Times New Roman" w:eastAsia="SimSun" w:hAnsi="Times New Roman" w:cs="Times New Roman"/>
      <w:color w:val="auto"/>
      <w:kern w:val="2"/>
      <w:sz w:val="21"/>
      <w:szCs w:val="24"/>
      <w:lang w:eastAsia="zh-CN"/>
    </w:rPr>
  </w:style>
  <w:style w:type="paragraph" w:styleId="NormalWeb">
    <w:name w:val="Normal (Web)"/>
    <w:basedOn w:val="Normal"/>
    <w:uiPriority w:val="99"/>
    <w:rsid w:val="001F468F"/>
    <w:pPr>
      <w:spacing w:beforeLines="1" w:afterLines="1" w:line="240" w:lineRule="auto"/>
    </w:pPr>
    <w:rPr>
      <w:rFonts w:ascii="Times" w:hAnsi="Times" w:cs="Times New Roman"/>
      <w:color w:val="auto"/>
      <w:sz w:val="20"/>
    </w:rPr>
  </w:style>
  <w:style w:type="character" w:customStyle="1" w:styleId="apple-tab-span">
    <w:name w:val="apple-tab-span"/>
    <w:basedOn w:val="DefaultParagraphFont"/>
    <w:rsid w:val="001F468F"/>
  </w:style>
  <w:style w:type="character" w:customStyle="1" w:styleId="rwrr">
    <w:name w:val="rwrr"/>
    <w:basedOn w:val="DefaultParagraphFont"/>
    <w:rsid w:val="00B645A8"/>
  </w:style>
</w:styles>
</file>

<file path=word/webSettings.xml><?xml version="1.0" encoding="utf-8"?>
<w:webSettings xmlns:r="http://schemas.openxmlformats.org/officeDocument/2006/relationships" xmlns:w="http://schemas.openxmlformats.org/wordprocessingml/2006/main">
  <w:divs>
    <w:div w:id="171722291">
      <w:bodyDiv w:val="1"/>
      <w:marLeft w:val="0"/>
      <w:marRight w:val="0"/>
      <w:marTop w:val="0"/>
      <w:marBottom w:val="0"/>
      <w:divBdr>
        <w:top w:val="none" w:sz="0" w:space="0" w:color="auto"/>
        <w:left w:val="none" w:sz="0" w:space="0" w:color="auto"/>
        <w:bottom w:val="none" w:sz="0" w:space="0" w:color="auto"/>
        <w:right w:val="none" w:sz="0" w:space="0" w:color="auto"/>
      </w:divBdr>
    </w:div>
    <w:div w:id="199514539">
      <w:bodyDiv w:val="1"/>
      <w:marLeft w:val="0"/>
      <w:marRight w:val="0"/>
      <w:marTop w:val="0"/>
      <w:marBottom w:val="0"/>
      <w:divBdr>
        <w:top w:val="none" w:sz="0" w:space="0" w:color="auto"/>
        <w:left w:val="none" w:sz="0" w:space="0" w:color="auto"/>
        <w:bottom w:val="none" w:sz="0" w:space="0" w:color="auto"/>
        <w:right w:val="none" w:sz="0" w:space="0" w:color="auto"/>
      </w:divBdr>
    </w:div>
    <w:div w:id="225727555">
      <w:bodyDiv w:val="1"/>
      <w:marLeft w:val="0"/>
      <w:marRight w:val="0"/>
      <w:marTop w:val="0"/>
      <w:marBottom w:val="0"/>
      <w:divBdr>
        <w:top w:val="none" w:sz="0" w:space="0" w:color="auto"/>
        <w:left w:val="none" w:sz="0" w:space="0" w:color="auto"/>
        <w:bottom w:val="none" w:sz="0" w:space="0" w:color="auto"/>
        <w:right w:val="none" w:sz="0" w:space="0" w:color="auto"/>
      </w:divBdr>
    </w:div>
    <w:div w:id="252865000">
      <w:bodyDiv w:val="1"/>
      <w:marLeft w:val="0"/>
      <w:marRight w:val="0"/>
      <w:marTop w:val="0"/>
      <w:marBottom w:val="0"/>
      <w:divBdr>
        <w:top w:val="none" w:sz="0" w:space="0" w:color="auto"/>
        <w:left w:val="none" w:sz="0" w:space="0" w:color="auto"/>
        <w:bottom w:val="none" w:sz="0" w:space="0" w:color="auto"/>
        <w:right w:val="none" w:sz="0" w:space="0" w:color="auto"/>
      </w:divBdr>
    </w:div>
    <w:div w:id="342632359">
      <w:bodyDiv w:val="1"/>
      <w:marLeft w:val="0"/>
      <w:marRight w:val="0"/>
      <w:marTop w:val="0"/>
      <w:marBottom w:val="0"/>
      <w:divBdr>
        <w:top w:val="none" w:sz="0" w:space="0" w:color="auto"/>
        <w:left w:val="none" w:sz="0" w:space="0" w:color="auto"/>
        <w:bottom w:val="none" w:sz="0" w:space="0" w:color="auto"/>
        <w:right w:val="none" w:sz="0" w:space="0" w:color="auto"/>
      </w:divBdr>
    </w:div>
    <w:div w:id="428894626">
      <w:bodyDiv w:val="1"/>
      <w:marLeft w:val="0"/>
      <w:marRight w:val="0"/>
      <w:marTop w:val="0"/>
      <w:marBottom w:val="0"/>
      <w:divBdr>
        <w:top w:val="none" w:sz="0" w:space="0" w:color="auto"/>
        <w:left w:val="none" w:sz="0" w:space="0" w:color="auto"/>
        <w:bottom w:val="none" w:sz="0" w:space="0" w:color="auto"/>
        <w:right w:val="none" w:sz="0" w:space="0" w:color="auto"/>
      </w:divBdr>
    </w:div>
    <w:div w:id="453139830">
      <w:bodyDiv w:val="1"/>
      <w:marLeft w:val="0"/>
      <w:marRight w:val="0"/>
      <w:marTop w:val="0"/>
      <w:marBottom w:val="0"/>
      <w:divBdr>
        <w:top w:val="none" w:sz="0" w:space="0" w:color="auto"/>
        <w:left w:val="none" w:sz="0" w:space="0" w:color="auto"/>
        <w:bottom w:val="none" w:sz="0" w:space="0" w:color="auto"/>
        <w:right w:val="none" w:sz="0" w:space="0" w:color="auto"/>
      </w:divBdr>
    </w:div>
    <w:div w:id="565185237">
      <w:bodyDiv w:val="1"/>
      <w:marLeft w:val="0"/>
      <w:marRight w:val="0"/>
      <w:marTop w:val="0"/>
      <w:marBottom w:val="0"/>
      <w:divBdr>
        <w:top w:val="none" w:sz="0" w:space="0" w:color="auto"/>
        <w:left w:val="none" w:sz="0" w:space="0" w:color="auto"/>
        <w:bottom w:val="none" w:sz="0" w:space="0" w:color="auto"/>
        <w:right w:val="none" w:sz="0" w:space="0" w:color="auto"/>
      </w:divBdr>
    </w:div>
    <w:div w:id="575894633">
      <w:bodyDiv w:val="1"/>
      <w:marLeft w:val="0"/>
      <w:marRight w:val="0"/>
      <w:marTop w:val="0"/>
      <w:marBottom w:val="0"/>
      <w:divBdr>
        <w:top w:val="none" w:sz="0" w:space="0" w:color="auto"/>
        <w:left w:val="none" w:sz="0" w:space="0" w:color="auto"/>
        <w:bottom w:val="none" w:sz="0" w:space="0" w:color="auto"/>
        <w:right w:val="none" w:sz="0" w:space="0" w:color="auto"/>
      </w:divBdr>
    </w:div>
    <w:div w:id="637152963">
      <w:bodyDiv w:val="1"/>
      <w:marLeft w:val="0"/>
      <w:marRight w:val="0"/>
      <w:marTop w:val="0"/>
      <w:marBottom w:val="0"/>
      <w:divBdr>
        <w:top w:val="none" w:sz="0" w:space="0" w:color="auto"/>
        <w:left w:val="none" w:sz="0" w:space="0" w:color="auto"/>
        <w:bottom w:val="none" w:sz="0" w:space="0" w:color="auto"/>
        <w:right w:val="none" w:sz="0" w:space="0" w:color="auto"/>
      </w:divBdr>
    </w:div>
    <w:div w:id="825705893">
      <w:bodyDiv w:val="1"/>
      <w:marLeft w:val="0"/>
      <w:marRight w:val="0"/>
      <w:marTop w:val="0"/>
      <w:marBottom w:val="0"/>
      <w:divBdr>
        <w:top w:val="none" w:sz="0" w:space="0" w:color="auto"/>
        <w:left w:val="none" w:sz="0" w:space="0" w:color="auto"/>
        <w:bottom w:val="none" w:sz="0" w:space="0" w:color="auto"/>
        <w:right w:val="none" w:sz="0" w:space="0" w:color="auto"/>
      </w:divBdr>
    </w:div>
    <w:div w:id="861820857">
      <w:bodyDiv w:val="1"/>
      <w:marLeft w:val="0"/>
      <w:marRight w:val="0"/>
      <w:marTop w:val="0"/>
      <w:marBottom w:val="0"/>
      <w:divBdr>
        <w:top w:val="none" w:sz="0" w:space="0" w:color="auto"/>
        <w:left w:val="none" w:sz="0" w:space="0" w:color="auto"/>
        <w:bottom w:val="none" w:sz="0" w:space="0" w:color="auto"/>
        <w:right w:val="none" w:sz="0" w:space="0" w:color="auto"/>
      </w:divBdr>
    </w:div>
    <w:div w:id="912930725">
      <w:bodyDiv w:val="1"/>
      <w:marLeft w:val="0"/>
      <w:marRight w:val="0"/>
      <w:marTop w:val="0"/>
      <w:marBottom w:val="0"/>
      <w:divBdr>
        <w:top w:val="none" w:sz="0" w:space="0" w:color="auto"/>
        <w:left w:val="none" w:sz="0" w:space="0" w:color="auto"/>
        <w:bottom w:val="none" w:sz="0" w:space="0" w:color="auto"/>
        <w:right w:val="none" w:sz="0" w:space="0" w:color="auto"/>
      </w:divBdr>
    </w:div>
    <w:div w:id="1276251799">
      <w:bodyDiv w:val="1"/>
      <w:marLeft w:val="0"/>
      <w:marRight w:val="0"/>
      <w:marTop w:val="0"/>
      <w:marBottom w:val="0"/>
      <w:divBdr>
        <w:top w:val="none" w:sz="0" w:space="0" w:color="auto"/>
        <w:left w:val="none" w:sz="0" w:space="0" w:color="auto"/>
        <w:bottom w:val="none" w:sz="0" w:space="0" w:color="auto"/>
        <w:right w:val="none" w:sz="0" w:space="0" w:color="auto"/>
      </w:divBdr>
    </w:div>
    <w:div w:id="1314916087">
      <w:bodyDiv w:val="1"/>
      <w:marLeft w:val="0"/>
      <w:marRight w:val="0"/>
      <w:marTop w:val="0"/>
      <w:marBottom w:val="0"/>
      <w:divBdr>
        <w:top w:val="none" w:sz="0" w:space="0" w:color="auto"/>
        <w:left w:val="none" w:sz="0" w:space="0" w:color="auto"/>
        <w:bottom w:val="none" w:sz="0" w:space="0" w:color="auto"/>
        <w:right w:val="none" w:sz="0" w:space="0" w:color="auto"/>
      </w:divBdr>
    </w:div>
    <w:div w:id="1373767226">
      <w:bodyDiv w:val="1"/>
      <w:marLeft w:val="0"/>
      <w:marRight w:val="0"/>
      <w:marTop w:val="0"/>
      <w:marBottom w:val="0"/>
      <w:divBdr>
        <w:top w:val="none" w:sz="0" w:space="0" w:color="auto"/>
        <w:left w:val="none" w:sz="0" w:space="0" w:color="auto"/>
        <w:bottom w:val="none" w:sz="0" w:space="0" w:color="auto"/>
        <w:right w:val="none" w:sz="0" w:space="0" w:color="auto"/>
      </w:divBdr>
    </w:div>
    <w:div w:id="1417095257">
      <w:bodyDiv w:val="1"/>
      <w:marLeft w:val="0"/>
      <w:marRight w:val="0"/>
      <w:marTop w:val="0"/>
      <w:marBottom w:val="0"/>
      <w:divBdr>
        <w:top w:val="none" w:sz="0" w:space="0" w:color="auto"/>
        <w:left w:val="none" w:sz="0" w:space="0" w:color="auto"/>
        <w:bottom w:val="none" w:sz="0" w:space="0" w:color="auto"/>
        <w:right w:val="none" w:sz="0" w:space="0" w:color="auto"/>
      </w:divBdr>
    </w:div>
    <w:div w:id="1494568524">
      <w:bodyDiv w:val="1"/>
      <w:marLeft w:val="0"/>
      <w:marRight w:val="0"/>
      <w:marTop w:val="0"/>
      <w:marBottom w:val="0"/>
      <w:divBdr>
        <w:top w:val="none" w:sz="0" w:space="0" w:color="auto"/>
        <w:left w:val="none" w:sz="0" w:space="0" w:color="auto"/>
        <w:bottom w:val="none" w:sz="0" w:space="0" w:color="auto"/>
        <w:right w:val="none" w:sz="0" w:space="0" w:color="auto"/>
      </w:divBdr>
    </w:div>
    <w:div w:id="1529416641">
      <w:bodyDiv w:val="1"/>
      <w:marLeft w:val="0"/>
      <w:marRight w:val="0"/>
      <w:marTop w:val="0"/>
      <w:marBottom w:val="0"/>
      <w:divBdr>
        <w:top w:val="none" w:sz="0" w:space="0" w:color="auto"/>
        <w:left w:val="none" w:sz="0" w:space="0" w:color="auto"/>
        <w:bottom w:val="none" w:sz="0" w:space="0" w:color="auto"/>
        <w:right w:val="none" w:sz="0" w:space="0" w:color="auto"/>
      </w:divBdr>
    </w:div>
    <w:div w:id="1574512972">
      <w:bodyDiv w:val="1"/>
      <w:marLeft w:val="0"/>
      <w:marRight w:val="0"/>
      <w:marTop w:val="0"/>
      <w:marBottom w:val="0"/>
      <w:divBdr>
        <w:top w:val="none" w:sz="0" w:space="0" w:color="auto"/>
        <w:left w:val="none" w:sz="0" w:space="0" w:color="auto"/>
        <w:bottom w:val="none" w:sz="0" w:space="0" w:color="auto"/>
        <w:right w:val="none" w:sz="0" w:space="0" w:color="auto"/>
      </w:divBdr>
    </w:div>
    <w:div w:id="1761099776">
      <w:bodyDiv w:val="1"/>
      <w:marLeft w:val="0"/>
      <w:marRight w:val="0"/>
      <w:marTop w:val="0"/>
      <w:marBottom w:val="0"/>
      <w:divBdr>
        <w:top w:val="none" w:sz="0" w:space="0" w:color="auto"/>
        <w:left w:val="none" w:sz="0" w:space="0" w:color="auto"/>
        <w:bottom w:val="none" w:sz="0" w:space="0" w:color="auto"/>
        <w:right w:val="none" w:sz="0" w:space="0" w:color="auto"/>
      </w:divBdr>
    </w:div>
    <w:div w:id="1772161546">
      <w:bodyDiv w:val="1"/>
      <w:marLeft w:val="0"/>
      <w:marRight w:val="0"/>
      <w:marTop w:val="0"/>
      <w:marBottom w:val="0"/>
      <w:divBdr>
        <w:top w:val="none" w:sz="0" w:space="0" w:color="auto"/>
        <w:left w:val="none" w:sz="0" w:space="0" w:color="auto"/>
        <w:bottom w:val="none" w:sz="0" w:space="0" w:color="auto"/>
        <w:right w:val="none" w:sz="0" w:space="0" w:color="auto"/>
      </w:divBdr>
    </w:div>
    <w:div w:id="1891376061">
      <w:bodyDiv w:val="1"/>
      <w:marLeft w:val="0"/>
      <w:marRight w:val="0"/>
      <w:marTop w:val="0"/>
      <w:marBottom w:val="0"/>
      <w:divBdr>
        <w:top w:val="none" w:sz="0" w:space="0" w:color="auto"/>
        <w:left w:val="none" w:sz="0" w:space="0" w:color="auto"/>
        <w:bottom w:val="none" w:sz="0" w:space="0" w:color="auto"/>
        <w:right w:val="none" w:sz="0" w:space="0" w:color="auto"/>
      </w:divBdr>
    </w:div>
    <w:div w:id="21292790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1.jpeg"/><Relationship Id="rId17" Type="http://schemas.openxmlformats.org/officeDocument/2006/relationships/header" Target="header4.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13582</Words>
  <Characters>77423</Characters>
  <Application>Microsoft Word 12.0.0</Application>
  <DocSecurity>0</DocSecurity>
  <Lines>645</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95080</CharactersWithSpaces>
  <SharedDoc>false</SharedDoc>
  <HyperlinkBase/>
  <HLinks>
    <vt:vector size="6" baseType="variant">
      <vt:variant>
        <vt:i4>4784230</vt:i4>
      </vt:variant>
      <vt:variant>
        <vt:i4>110325</vt:i4>
      </vt:variant>
      <vt:variant>
        <vt:i4>1025</vt:i4>
      </vt:variant>
      <vt:variant>
        <vt:i4>1</vt:i4>
      </vt:variant>
      <vt:variant>
        <vt:lpwstr>IS_paper_model_Nov15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2016-02-04T10:17:00Z</cp:lastPrinted>
  <dcterms:created xsi:type="dcterms:W3CDTF">2016-02-04T10:17:00Z</dcterms:created>
  <dcterms:modified xsi:type="dcterms:W3CDTF">2016-02-04T10:17:00Z</dcterms:modified>
</cp:coreProperties>
</file>